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AEEEE">
      <w:pPr>
        <w:spacing w:line="360" w:lineRule="auto"/>
        <w:jc w:val="both"/>
        <w:rPr>
          <w:rFonts w:hint="eastAsia" w:ascii="华文新魏" w:eastAsia="华文新魏"/>
          <w:color w:val="000000"/>
          <w:sz w:val="48"/>
          <w:szCs w:val="48"/>
        </w:rPr>
      </w:pPr>
    </w:p>
    <w:p w14:paraId="161755D9">
      <w:pPr>
        <w:pStyle w:val="9"/>
        <w:rPr>
          <w:rFonts w:hint="eastAsia" w:ascii="华文新魏" w:eastAsia="华文新魏"/>
          <w:color w:val="000000"/>
          <w:sz w:val="48"/>
          <w:szCs w:val="48"/>
        </w:rPr>
      </w:pPr>
    </w:p>
    <w:p w14:paraId="4EBB2D8C">
      <w:pPr>
        <w:spacing w:line="360" w:lineRule="auto"/>
        <w:jc w:val="center"/>
        <w:rPr>
          <w:rFonts w:hint="eastAsia" w:ascii="华文新魏" w:eastAsia="华文新魏"/>
          <w:b/>
          <w:color w:val="000000"/>
          <w:sz w:val="48"/>
          <w:szCs w:val="48"/>
        </w:rPr>
      </w:pPr>
      <w:r>
        <w:rPr>
          <w:rFonts w:hint="eastAsia" w:ascii="华文新魏" w:eastAsia="华文新魏"/>
          <w:b/>
          <w:color w:val="000000"/>
          <w:sz w:val="48"/>
          <w:szCs w:val="48"/>
          <w:lang w:eastAsia="zh-CN"/>
        </w:rPr>
        <w:t>建设项目</w:t>
      </w:r>
      <w:r>
        <w:rPr>
          <w:rFonts w:hint="eastAsia" w:ascii="华文新魏" w:eastAsia="华文新魏"/>
          <w:b/>
          <w:color w:val="000000"/>
          <w:sz w:val="48"/>
          <w:szCs w:val="48"/>
        </w:rPr>
        <w:t>竣工环境保护</w:t>
      </w:r>
    </w:p>
    <w:p w14:paraId="1B35C433">
      <w:pPr>
        <w:spacing w:line="360" w:lineRule="auto"/>
        <w:jc w:val="center"/>
        <w:rPr>
          <w:rFonts w:hint="eastAsia" w:ascii="华文新魏" w:eastAsia="华文新魏"/>
          <w:color w:val="000000"/>
          <w:sz w:val="48"/>
          <w:szCs w:val="48"/>
          <w:lang w:eastAsia="zh-CN"/>
        </w:rPr>
      </w:pPr>
      <w:r>
        <w:rPr>
          <w:rFonts w:hint="eastAsia" w:ascii="华文新魏" w:eastAsia="华文新魏"/>
          <w:b/>
          <w:color w:val="000000"/>
          <w:sz w:val="48"/>
          <w:szCs w:val="48"/>
        </w:rPr>
        <w:t>验收监测报告</w:t>
      </w:r>
      <w:r>
        <w:rPr>
          <w:rFonts w:hint="eastAsia" w:ascii="华文新魏" w:eastAsia="华文新魏"/>
          <w:b/>
          <w:color w:val="000000"/>
          <w:sz w:val="48"/>
          <w:szCs w:val="48"/>
          <w:lang w:eastAsia="zh-CN"/>
        </w:rPr>
        <w:t>表</w:t>
      </w:r>
    </w:p>
    <w:p w14:paraId="443155AC">
      <w:pPr>
        <w:spacing w:line="360" w:lineRule="auto"/>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致远</w:t>
      </w:r>
      <w:r>
        <w:rPr>
          <w:rFonts w:hint="eastAsia" w:ascii="Times New Roman" w:hAnsi="Times New Roman" w:cs="Times New Roman"/>
          <w:color w:val="000000" w:themeColor="text1"/>
          <w:sz w:val="24"/>
          <w:szCs w:val="24"/>
          <w14:textFill>
            <w14:solidFill>
              <w14:schemeClr w14:val="tx1"/>
            </w14:solidFill>
          </w14:textFill>
        </w:rPr>
        <w:t>【验】字</w:t>
      </w:r>
      <w:r>
        <w:rPr>
          <w:rFonts w:hint="default" w:ascii="Times New Roman" w:hAnsi="Times New Roman" w:cs="Times New Roman"/>
          <w:color w:val="000000" w:themeColor="text1"/>
          <w:sz w:val="24"/>
          <w:szCs w:val="24"/>
          <w:lang w:val="en-US" w:eastAsia="zh-CN"/>
          <w14:textFill>
            <w14:solidFill>
              <w14:schemeClr w14:val="tx1"/>
            </w14:solidFill>
          </w14:textFill>
        </w:rPr>
        <w:t>20260708-02号</w:t>
      </w:r>
    </w:p>
    <w:p w14:paraId="4C753EB9">
      <w:pPr>
        <w:spacing w:line="360" w:lineRule="auto"/>
        <w:jc w:val="center"/>
        <w:rPr>
          <w:rFonts w:ascii="仿宋_GB2312" w:eastAsia="仿宋_GB2312"/>
          <w:color w:val="000000"/>
          <w:sz w:val="28"/>
        </w:rPr>
      </w:pPr>
    </w:p>
    <w:p w14:paraId="3344EA8B">
      <w:pPr>
        <w:pStyle w:val="9"/>
      </w:pPr>
    </w:p>
    <w:p w14:paraId="399A0857">
      <w:pPr>
        <w:rPr>
          <w:rFonts w:ascii="仿宋_GB2312" w:eastAsia="仿宋_GB2312"/>
          <w:color w:val="000000"/>
          <w:sz w:val="28"/>
        </w:rPr>
      </w:pPr>
    </w:p>
    <w:p w14:paraId="0F6991ED">
      <w:pPr>
        <w:rPr>
          <w:rFonts w:ascii="仿宋_GB2312" w:eastAsia="仿宋_GB2312"/>
          <w:color w:val="000000"/>
          <w:sz w:val="28"/>
        </w:rPr>
      </w:pPr>
      <w:r>
        <w:rPr>
          <w:rFonts w:ascii="仿宋_GB2312" w:eastAsia="仿宋_GB2312"/>
          <w:color w:val="000000"/>
          <w:sz w:val="28"/>
        </w:rPr>
        <w:tab/>
      </w:r>
      <w:r>
        <w:rPr>
          <w:rFonts w:ascii="仿宋_GB2312" w:eastAsia="仿宋_GB2312"/>
          <w:color w:val="000000"/>
          <w:sz w:val="28"/>
        </w:rPr>
        <w:tab/>
      </w:r>
    </w:p>
    <w:p w14:paraId="2BFF3D86">
      <w:pPr>
        <w:pStyle w:val="9"/>
        <w:rPr>
          <w:rFonts w:hint="eastAsia" w:ascii="仿宋_GB2312" w:eastAsia="仿宋_GB2312"/>
          <w:color w:val="000000"/>
          <w:sz w:val="28"/>
        </w:rPr>
      </w:pPr>
    </w:p>
    <w:p w14:paraId="4B74C713">
      <w:pPr>
        <w:ind w:firstLine="1120" w:firstLineChars="400"/>
        <w:jc w:val="both"/>
        <w:rPr>
          <w:rFonts w:hint="eastAsia" w:asciiTheme="minorEastAsia" w:hAnsiTheme="minorEastAsia" w:eastAsiaTheme="minorEastAsia"/>
          <w:sz w:val="28"/>
          <w:u w:val="single"/>
          <w:lang w:eastAsia="zh-CN"/>
        </w:rPr>
      </w:pPr>
      <w:r>
        <w:rPr>
          <w:rFonts w:hint="eastAsia" w:asciiTheme="minorEastAsia" w:hAnsiTheme="minorEastAsia" w:eastAsiaTheme="minorEastAsia"/>
          <w:sz w:val="28"/>
        </w:rPr>
        <w:t>项目名称：</w:t>
      </w:r>
      <w:r>
        <w:rPr>
          <w:rFonts w:hint="eastAsia" w:asciiTheme="minorEastAsia" w:hAnsiTheme="minorEastAsia" w:eastAsiaTheme="minorEastAsia"/>
          <w:sz w:val="28"/>
          <w:u w:val="single"/>
          <w:lang w:eastAsia="zh-CN"/>
        </w:rPr>
        <w:t>佛山康立泰数码科技有限公司江西分公司</w:t>
      </w:r>
    </w:p>
    <w:p w14:paraId="60A98A55">
      <w:pPr>
        <w:ind w:firstLine="3080" w:firstLineChars="1100"/>
        <w:jc w:val="both"/>
        <w:rPr>
          <w:rFonts w:hint="eastAsia" w:cs="Times New Roman" w:asciiTheme="minorEastAsia" w:hAnsiTheme="minorEastAsia" w:eastAsiaTheme="minorEastAsia"/>
          <w:kern w:val="2"/>
          <w:sz w:val="28"/>
          <w:szCs w:val="24"/>
          <w:u w:val="single"/>
          <w:lang w:val="en-US" w:eastAsia="zh-CN" w:bidi="ar-SA"/>
        </w:rPr>
      </w:pPr>
      <w:r>
        <w:rPr>
          <w:rFonts w:hint="eastAsia" w:asciiTheme="minorEastAsia" w:hAnsiTheme="minorEastAsia" w:eastAsiaTheme="minorEastAsia"/>
          <w:sz w:val="28"/>
          <w:u w:val="single"/>
          <w:lang w:eastAsia="zh-CN"/>
        </w:rPr>
        <w:t>年产6万吨陶瓷原料生产建设项目</w:t>
      </w:r>
    </w:p>
    <w:p w14:paraId="6DA5BE22">
      <w:pPr>
        <w:pStyle w:val="9"/>
        <w:ind w:firstLine="1120" w:firstLineChars="400"/>
        <w:jc w:val="both"/>
        <w:rPr>
          <w:rFonts w:hint="default" w:asciiTheme="minorEastAsia" w:hAnsiTheme="minorEastAsia" w:eastAsiaTheme="minorEastAsia"/>
          <w:u w:val="single"/>
          <w:lang w:val="en-US" w:eastAsia="zh-CN"/>
        </w:rPr>
      </w:pPr>
      <w:r>
        <w:rPr>
          <w:rFonts w:hint="eastAsia" w:asciiTheme="minorEastAsia" w:hAnsiTheme="minorEastAsia" w:eastAsiaTheme="minorEastAsia"/>
        </w:rPr>
        <w:t>建设单位：</w:t>
      </w:r>
      <w:r>
        <w:rPr>
          <w:rFonts w:hint="eastAsia" w:asciiTheme="minorEastAsia" w:hAnsiTheme="minorEastAsia" w:eastAsiaTheme="minorEastAsia"/>
          <w:u w:val="single"/>
          <w:lang w:val="en-US" w:eastAsia="zh-CN"/>
        </w:rPr>
        <w:t xml:space="preserve"> </w:t>
      </w:r>
      <w:r>
        <w:rPr>
          <w:rFonts w:hint="eastAsia" w:asciiTheme="minorEastAsia" w:hAnsiTheme="minorEastAsia" w:eastAsiaTheme="minorEastAsia"/>
          <w:u w:val="single"/>
          <w:lang w:eastAsia="zh-CN"/>
        </w:rPr>
        <w:t>佛山康立泰数码科技有限公司江西分公司</w:t>
      </w:r>
      <w:r>
        <w:rPr>
          <w:rFonts w:hint="eastAsia" w:asciiTheme="minorEastAsia" w:hAnsiTheme="minorEastAsia" w:eastAsiaTheme="minorEastAsia"/>
          <w:u w:val="single"/>
          <w:lang w:val="en-US" w:eastAsia="zh-CN"/>
        </w:rPr>
        <w:t xml:space="preserve"> </w:t>
      </w:r>
    </w:p>
    <w:p w14:paraId="2041026F">
      <w:pPr>
        <w:pStyle w:val="9"/>
        <w:rPr>
          <w:rFonts w:hint="eastAsia" w:asciiTheme="minorEastAsia" w:hAnsiTheme="minorEastAsia" w:eastAsiaTheme="minorEastAsia"/>
          <w:sz w:val="24"/>
        </w:rPr>
      </w:pPr>
    </w:p>
    <w:p w14:paraId="06A0495D">
      <w:pPr>
        <w:pStyle w:val="9"/>
        <w:rPr>
          <w:rFonts w:hint="eastAsia" w:asciiTheme="minorEastAsia" w:hAnsiTheme="minorEastAsia" w:eastAsiaTheme="minorEastAsia"/>
          <w:sz w:val="24"/>
        </w:rPr>
      </w:pPr>
    </w:p>
    <w:p w14:paraId="1CBEE3DF">
      <w:pPr>
        <w:jc w:val="center"/>
        <w:rPr>
          <w:rFonts w:asciiTheme="minorEastAsia" w:hAnsiTheme="minorEastAsia" w:eastAsiaTheme="minorEastAsia"/>
          <w:sz w:val="24"/>
        </w:rPr>
      </w:pPr>
    </w:p>
    <w:p w14:paraId="125E2EEE">
      <w:pPr>
        <w:spacing w:line="360" w:lineRule="auto"/>
        <w:jc w:val="center"/>
        <w:rPr>
          <w:rFonts w:hint="default" w:ascii="Times New Roman" w:hAnsi="Times New Roman" w:cs="Times New Roman" w:eastAsiaTheme="minorEastAsia"/>
          <w:sz w:val="28"/>
        </w:rPr>
      </w:pPr>
    </w:p>
    <w:p w14:paraId="6D8C5DD8">
      <w:pPr>
        <w:spacing w:line="360" w:lineRule="auto"/>
        <w:jc w:val="center"/>
        <w:rPr>
          <w:rFonts w:hint="eastAsia" w:ascii="Times New Roman" w:hAnsi="Times New Roman" w:cs="Times New Roman" w:eastAsiaTheme="minorEastAsia"/>
          <w:color w:val="000000" w:themeColor="text1"/>
          <w:sz w:val="28"/>
          <w:lang w:eastAsia="zh-CN"/>
          <w14:textFill>
            <w14:solidFill>
              <w14:schemeClr w14:val="tx1"/>
            </w14:solidFill>
          </w14:textFill>
        </w:rPr>
      </w:pPr>
      <w:r>
        <w:rPr>
          <w:rFonts w:hint="eastAsia" w:ascii="Times New Roman" w:hAnsi="Times New Roman" w:cs="Times New Roman" w:eastAsiaTheme="minorEastAsia"/>
          <w:color w:val="000000" w:themeColor="text1"/>
          <w:sz w:val="28"/>
          <w:lang w:eastAsia="zh-CN"/>
          <w14:textFill>
            <w14:solidFill>
              <w14:schemeClr w14:val="tx1"/>
            </w14:solidFill>
          </w14:textFill>
        </w:rPr>
        <w:t>江西致远环保</w:t>
      </w:r>
      <w:r>
        <w:rPr>
          <w:rFonts w:hint="eastAsia" w:ascii="Times New Roman" w:hAnsi="Times New Roman" w:cs="Times New Roman" w:eastAsiaTheme="minorEastAsia"/>
          <w:color w:val="000000" w:themeColor="text1"/>
          <w:sz w:val="28"/>
          <w:lang w:val="en-US" w:eastAsia="zh-CN"/>
          <w14:textFill>
            <w14:solidFill>
              <w14:schemeClr w14:val="tx1"/>
            </w14:solidFill>
          </w14:textFill>
        </w:rPr>
        <w:t>股份</w:t>
      </w:r>
      <w:r>
        <w:rPr>
          <w:rFonts w:hint="eastAsia" w:ascii="Times New Roman" w:hAnsi="Times New Roman" w:cs="Times New Roman" w:eastAsiaTheme="minorEastAsia"/>
          <w:color w:val="000000" w:themeColor="text1"/>
          <w:sz w:val="28"/>
          <w:lang w:eastAsia="zh-CN"/>
          <w14:textFill>
            <w14:solidFill>
              <w14:schemeClr w14:val="tx1"/>
            </w14:solidFill>
          </w14:textFill>
        </w:rPr>
        <w:t>有限公司</w:t>
      </w:r>
    </w:p>
    <w:p w14:paraId="0359E7D4">
      <w:pPr>
        <w:spacing w:line="360" w:lineRule="auto"/>
        <w:jc w:val="center"/>
        <w:rPr>
          <w:rFonts w:hint="default" w:ascii="Times New Roman" w:hAnsi="Times New Roman" w:cs="Times New Roman" w:eastAsiaTheme="minorEastAsia"/>
          <w:color w:val="auto"/>
          <w:sz w:val="28"/>
        </w:rPr>
      </w:pPr>
      <w:r>
        <w:rPr>
          <w:rFonts w:hint="default" w:ascii="Times New Roman" w:hAnsi="Times New Roman" w:cs="Times New Roman" w:eastAsiaTheme="minorEastAsia"/>
          <w:color w:val="auto"/>
          <w:sz w:val="28"/>
        </w:rPr>
        <w:t>20</w:t>
      </w:r>
      <w:r>
        <w:rPr>
          <w:rFonts w:hint="eastAsia" w:ascii="Times New Roman" w:hAnsi="Times New Roman" w:cs="Times New Roman" w:eastAsiaTheme="minorEastAsia"/>
          <w:color w:val="auto"/>
          <w:sz w:val="28"/>
          <w:lang w:val="en-US" w:eastAsia="zh-CN"/>
        </w:rPr>
        <w:t>26</w:t>
      </w:r>
      <w:r>
        <w:rPr>
          <w:rFonts w:hint="default" w:ascii="Times New Roman" w:hAnsi="Times New Roman" w:cs="Times New Roman" w:eastAsiaTheme="minorEastAsia"/>
          <w:color w:val="auto"/>
          <w:sz w:val="28"/>
        </w:rPr>
        <w:t>年</w:t>
      </w:r>
      <w:r>
        <w:rPr>
          <w:rFonts w:hint="eastAsia" w:ascii="Times New Roman" w:hAnsi="Times New Roman" w:cs="Times New Roman" w:eastAsiaTheme="minorEastAsia"/>
          <w:color w:val="auto"/>
          <w:sz w:val="28"/>
          <w:lang w:val="en-US" w:eastAsia="zh-CN"/>
        </w:rPr>
        <w:t>9</w:t>
      </w:r>
      <w:r>
        <w:rPr>
          <w:rFonts w:hint="default" w:ascii="Times New Roman" w:hAnsi="Times New Roman" w:cs="Times New Roman" w:eastAsiaTheme="minorEastAsia"/>
          <w:color w:val="auto"/>
          <w:sz w:val="28"/>
        </w:rPr>
        <w:t>月</w:t>
      </w:r>
    </w:p>
    <w:p w14:paraId="5B81CCD4">
      <w:pPr>
        <w:pStyle w:val="9"/>
        <w:rPr>
          <w:rFonts w:hint="default"/>
        </w:rPr>
      </w:pPr>
    </w:p>
    <w:p w14:paraId="1ED6326D">
      <w:pPr>
        <w:pStyle w:val="9"/>
        <w:rPr>
          <w:rFonts w:hint="default"/>
        </w:rPr>
      </w:pPr>
    </w:p>
    <w:p w14:paraId="4D11793C">
      <w:pPr>
        <w:spacing w:line="360" w:lineRule="auto"/>
        <w:rPr>
          <w:rFonts w:hint="eastAsia" w:ascii="仿宋_GB2312" w:eastAsia="仿宋_GB2312"/>
          <w:b/>
          <w:color w:val="auto"/>
          <w:sz w:val="28"/>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2E09D65">
      <w:pPr>
        <w:spacing w:line="360" w:lineRule="auto"/>
        <w:rPr>
          <w:rFonts w:hint="eastAsia" w:ascii="仿宋_GB2312" w:eastAsia="仿宋_GB2312"/>
          <w:b/>
          <w:color w:val="auto"/>
          <w:sz w:val="28"/>
          <w:lang w:eastAsia="zh-CN"/>
        </w:rPr>
      </w:pPr>
      <w:r>
        <w:rPr>
          <w:rFonts w:hint="eastAsia" w:ascii="仿宋_GB2312" w:eastAsia="仿宋_GB2312"/>
          <w:b/>
          <w:color w:val="auto"/>
          <w:sz w:val="28"/>
          <w:lang w:eastAsia="zh-CN"/>
        </w:rPr>
        <w:t>建</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设</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单</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位：佛山康立泰数码科技有限公司江西分公司</w:t>
      </w:r>
    </w:p>
    <w:p w14:paraId="2707D140">
      <w:pPr>
        <w:spacing w:line="360" w:lineRule="auto"/>
        <w:rPr>
          <w:rFonts w:hint="eastAsia" w:ascii="仿宋_GB2312" w:eastAsia="仿宋_GB2312"/>
          <w:b/>
          <w:color w:val="auto"/>
          <w:sz w:val="28"/>
          <w:lang w:eastAsia="zh-CN"/>
        </w:rPr>
      </w:pPr>
      <w:r>
        <w:rPr>
          <w:rFonts w:hint="eastAsia" w:ascii="仿宋_GB2312" w:eastAsia="仿宋_GB2312"/>
          <w:b/>
          <w:color w:val="auto"/>
          <w:sz w:val="28"/>
        </w:rPr>
        <w:t>法  人  代  表</w:t>
      </w:r>
      <w:r>
        <w:rPr>
          <w:rFonts w:hint="eastAsia" w:ascii="仿宋_GB2312" w:eastAsia="仿宋_GB2312"/>
          <w:b/>
          <w:color w:val="auto"/>
          <w:sz w:val="28"/>
          <w:lang w:eastAsia="zh-CN"/>
        </w:rPr>
        <w:t>：</w:t>
      </w:r>
      <w:r>
        <w:rPr>
          <w:rFonts w:hint="eastAsia" w:ascii="仿宋_GB2312" w:eastAsia="仿宋_GB2312"/>
          <w:b/>
          <w:color w:val="auto"/>
          <w:sz w:val="28"/>
          <w:lang w:val="en-US" w:eastAsia="zh-CN"/>
        </w:rPr>
        <w:t>田秀娟</w:t>
      </w:r>
    </w:p>
    <w:p w14:paraId="28B2640C">
      <w:pPr>
        <w:spacing w:line="360" w:lineRule="auto"/>
        <w:rPr>
          <w:rFonts w:ascii="仿宋_GB2312" w:eastAsia="仿宋_GB2312"/>
          <w:b/>
          <w:color w:val="auto"/>
          <w:sz w:val="28"/>
        </w:rPr>
      </w:pPr>
      <w:r>
        <w:rPr>
          <w:rFonts w:hint="eastAsia" w:ascii="仿宋_GB2312" w:eastAsia="仿宋_GB2312"/>
          <w:b/>
          <w:color w:val="auto"/>
          <w:sz w:val="28"/>
        </w:rPr>
        <w:t>编  制  单</w:t>
      </w:r>
      <w:r>
        <w:rPr>
          <w:rFonts w:hint="eastAsia" w:ascii="仿宋_GB2312" w:eastAsia="仿宋_GB2312"/>
          <w:b/>
          <w:color w:val="auto"/>
          <w:sz w:val="28"/>
          <w:lang w:val="en-US" w:eastAsia="zh-CN"/>
        </w:rPr>
        <w:t xml:space="preserve">  </w:t>
      </w:r>
      <w:r>
        <w:rPr>
          <w:rFonts w:hint="eastAsia" w:ascii="仿宋_GB2312" w:eastAsia="仿宋_GB2312"/>
          <w:b/>
          <w:color w:val="auto"/>
          <w:sz w:val="28"/>
        </w:rPr>
        <w:t>位：</w:t>
      </w:r>
      <w:r>
        <w:rPr>
          <w:rFonts w:hint="eastAsia" w:ascii="仿宋_GB2312" w:eastAsia="仿宋_GB2312"/>
          <w:b/>
          <w:color w:val="auto"/>
          <w:sz w:val="28"/>
          <w:lang w:eastAsia="zh-CN"/>
        </w:rPr>
        <w:t>江西致远环保股份有限公司</w:t>
      </w:r>
    </w:p>
    <w:p w14:paraId="24C1E05A">
      <w:pPr>
        <w:spacing w:line="360" w:lineRule="auto"/>
        <w:rPr>
          <w:rFonts w:hint="eastAsia" w:ascii="Times New Roman" w:hAnsi="Times New Roman" w:eastAsia="宋体" w:cs="Times New Roman"/>
          <w:color w:val="auto"/>
          <w:sz w:val="28"/>
          <w:szCs w:val="28"/>
          <w:lang w:eastAsia="zh-CN"/>
        </w:rPr>
      </w:pPr>
      <w:r>
        <w:rPr>
          <w:rFonts w:ascii="Times New Roman" w:hAnsi="Times New Roman" w:cs="Times New Roman"/>
          <w:color w:val="auto"/>
          <w:sz w:val="28"/>
          <w:szCs w:val="28"/>
        </w:rPr>
        <w:t>报  告  编  写：</w:t>
      </w:r>
    </w:p>
    <w:p w14:paraId="3BA08206">
      <w:pPr>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核</w:t>
      </w:r>
      <w:r>
        <w:rPr>
          <w:rFonts w:hint="eastAsia" w:ascii="Times New Roman" w:hAnsi="Times New Roman" w:cs="Times New Roman"/>
          <w:color w:val="auto"/>
          <w:sz w:val="28"/>
          <w:szCs w:val="28"/>
        </w:rPr>
        <w:t>（一审）</w:t>
      </w:r>
      <w:r>
        <w:rPr>
          <w:rFonts w:ascii="Times New Roman" w:hAnsi="Times New Roman" w:cs="Times New Roman"/>
          <w:color w:val="auto"/>
          <w:sz w:val="28"/>
          <w:szCs w:val="28"/>
        </w:rPr>
        <w:t xml:space="preserve">： </w:t>
      </w:r>
    </w:p>
    <w:p w14:paraId="4F3F9CC7">
      <w:pPr>
        <w:pStyle w:val="32"/>
        <w:rPr>
          <w:rFonts w:ascii="Times New Roman" w:hAnsi="Times New Roman" w:cs="Times New Roman"/>
          <w:b w:val="0"/>
          <w:bCs/>
          <w:color w:val="auto"/>
          <w:sz w:val="28"/>
          <w:szCs w:val="28"/>
        </w:rPr>
      </w:pPr>
      <w:r>
        <w:rPr>
          <w:rFonts w:ascii="Times New Roman" w:hAnsi="Times New Roman" w:cs="Times New Roman"/>
          <w:b w:val="0"/>
          <w:bCs/>
          <w:color w:val="auto"/>
          <w:sz w:val="28"/>
          <w:szCs w:val="28"/>
        </w:rPr>
        <w:t>审  核</w:t>
      </w:r>
      <w:r>
        <w:rPr>
          <w:rFonts w:hint="eastAsia" w:ascii="Times New Roman" w:hAnsi="Times New Roman" w:cs="Times New Roman"/>
          <w:b w:val="0"/>
          <w:bCs/>
          <w:color w:val="auto"/>
          <w:sz w:val="28"/>
          <w:szCs w:val="28"/>
        </w:rPr>
        <w:t>（二审）</w:t>
      </w:r>
      <w:r>
        <w:rPr>
          <w:rFonts w:ascii="Times New Roman" w:hAnsi="Times New Roman" w:cs="Times New Roman"/>
          <w:b w:val="0"/>
          <w:bCs/>
          <w:color w:val="auto"/>
          <w:sz w:val="28"/>
          <w:szCs w:val="28"/>
        </w:rPr>
        <w:t>：</w:t>
      </w:r>
    </w:p>
    <w:p w14:paraId="58B22EC2">
      <w:pPr>
        <w:tabs>
          <w:tab w:val="left" w:pos="4370"/>
        </w:tabs>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定</w:t>
      </w:r>
      <w:r>
        <w:rPr>
          <w:rFonts w:hint="eastAsia" w:ascii="Times New Roman" w:hAnsi="Times New Roman" w:cs="Times New Roman"/>
          <w:color w:val="auto"/>
          <w:sz w:val="28"/>
          <w:szCs w:val="28"/>
        </w:rPr>
        <w:t>/签   发</w:t>
      </w:r>
      <w:r>
        <w:rPr>
          <w:rFonts w:ascii="Times New Roman" w:hAnsi="Times New Roman" w:cs="Times New Roman"/>
          <w:color w:val="auto"/>
          <w:sz w:val="28"/>
          <w:szCs w:val="28"/>
        </w:rPr>
        <w:t xml:space="preserve">： </w:t>
      </w:r>
    </w:p>
    <w:p w14:paraId="246391D1">
      <w:pPr>
        <w:spacing w:line="360" w:lineRule="auto"/>
        <w:rPr>
          <w:rFonts w:hint="eastAsia" w:ascii="仿宋_GB2312" w:eastAsia="仿宋_GB2312"/>
          <w:b/>
          <w:color w:val="000000"/>
          <w:sz w:val="28"/>
        </w:rPr>
      </w:pPr>
    </w:p>
    <w:p w14:paraId="258E4E6B">
      <w:pPr>
        <w:spacing w:line="360" w:lineRule="auto"/>
        <w:rPr>
          <w:rFonts w:hint="eastAsia" w:ascii="仿宋_GB2312" w:eastAsia="仿宋_GB2312"/>
          <w:color w:val="000000"/>
          <w:sz w:val="28"/>
        </w:rPr>
      </w:pPr>
    </w:p>
    <w:p w14:paraId="3FAB264A">
      <w:pPr>
        <w:spacing w:line="360" w:lineRule="auto"/>
        <w:rPr>
          <w:rFonts w:hint="eastAsia" w:ascii="仿宋_GB2312" w:eastAsia="仿宋_GB2312"/>
          <w:color w:val="000000"/>
          <w:sz w:val="28"/>
        </w:rPr>
      </w:pPr>
    </w:p>
    <w:p w14:paraId="277BD219">
      <w:pPr>
        <w:spacing w:line="360" w:lineRule="auto"/>
        <w:rPr>
          <w:rFonts w:hint="eastAsia" w:ascii="仿宋_GB2312" w:eastAsia="仿宋_GB2312"/>
          <w:color w:val="000000"/>
          <w:sz w:val="28"/>
        </w:rPr>
      </w:pPr>
    </w:p>
    <w:p w14:paraId="49F9DEC9">
      <w:pPr>
        <w:spacing w:line="360" w:lineRule="auto"/>
        <w:rPr>
          <w:rFonts w:ascii="仿宋_GB2312" w:eastAsia="仿宋_GB2312"/>
          <w:color w:val="000000"/>
          <w:sz w:val="28"/>
        </w:rPr>
      </w:pPr>
    </w:p>
    <w:p w14:paraId="63DFFBBA">
      <w:pPr>
        <w:pStyle w:val="9"/>
        <w:rPr>
          <w:rFonts w:ascii="仿宋_GB2312" w:eastAsia="仿宋_GB2312"/>
          <w:color w:val="000000"/>
          <w:sz w:val="28"/>
        </w:rPr>
      </w:pPr>
    </w:p>
    <w:p w14:paraId="4DC7D54C">
      <w:pPr>
        <w:pStyle w:val="9"/>
        <w:rPr>
          <w:rFonts w:ascii="仿宋_GB2312" w:eastAsia="仿宋_GB2312"/>
          <w:color w:val="000000"/>
          <w:sz w:val="28"/>
        </w:rPr>
      </w:pPr>
    </w:p>
    <w:p w14:paraId="55D9BA6C">
      <w:pPr>
        <w:pStyle w:val="9"/>
        <w:rPr>
          <w:rFonts w:ascii="仿宋_GB2312" w:eastAsia="仿宋_GB2312"/>
          <w:color w:val="000000"/>
          <w:sz w:val="28"/>
        </w:rPr>
      </w:pPr>
    </w:p>
    <w:tbl>
      <w:tblPr>
        <w:tblStyle w:val="25"/>
        <w:tblW w:w="103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38"/>
        <w:gridCol w:w="4567"/>
      </w:tblGrid>
      <w:tr w14:paraId="3E976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738" w:type="dxa"/>
            <w:tcBorders>
              <w:tl2br w:val="nil"/>
              <w:tr2bl w:val="nil"/>
            </w:tcBorders>
            <w:noWrap w:val="0"/>
            <w:vAlign w:val="center"/>
          </w:tcPr>
          <w:p w14:paraId="7A539AD7">
            <w:pPr>
              <w:spacing w:line="360" w:lineRule="auto"/>
              <w:jc w:val="both"/>
              <w:rPr>
                <w:rFonts w:ascii="仿宋_GB2312" w:eastAsia="仿宋_GB2312"/>
                <w:b/>
                <w:color w:val="auto"/>
                <w:sz w:val="24"/>
                <w:szCs w:val="24"/>
                <w:vertAlign w:val="baseline"/>
              </w:rPr>
            </w:pPr>
            <w:r>
              <w:rPr>
                <w:rFonts w:hint="eastAsia" w:ascii="仿宋_GB2312" w:eastAsia="仿宋_GB2312"/>
                <w:color w:val="auto"/>
                <w:sz w:val="24"/>
                <w:szCs w:val="24"/>
              </w:rPr>
              <w:t xml:space="preserve">建设单位 </w:t>
            </w:r>
            <w:r>
              <w:rPr>
                <w:rFonts w:hint="eastAsia" w:ascii="仿宋_GB2312" w:eastAsia="仿宋_GB2312"/>
                <w:color w:val="auto"/>
                <w:sz w:val="24"/>
                <w:szCs w:val="24"/>
                <w:lang w:eastAsia="zh-CN"/>
              </w:rPr>
              <w:t>：佛山康立泰数码科技有限公司江西分公司</w:t>
            </w:r>
          </w:p>
        </w:tc>
        <w:tc>
          <w:tcPr>
            <w:tcW w:w="4567" w:type="dxa"/>
            <w:tcBorders>
              <w:tl2br w:val="nil"/>
              <w:tr2bl w:val="nil"/>
            </w:tcBorders>
            <w:noWrap w:val="0"/>
            <w:vAlign w:val="center"/>
          </w:tcPr>
          <w:p w14:paraId="64E641B2">
            <w:pPr>
              <w:spacing w:line="360" w:lineRule="auto"/>
              <w:jc w:val="both"/>
              <w:rPr>
                <w:rFonts w:ascii="仿宋_GB2312" w:eastAsia="仿宋_GB2312"/>
                <w:b/>
                <w:color w:val="auto"/>
                <w:sz w:val="24"/>
                <w:szCs w:val="24"/>
                <w:vertAlign w:val="baseline"/>
              </w:rPr>
            </w:pPr>
            <w:r>
              <w:rPr>
                <w:rFonts w:hint="default" w:ascii="Times New Roman" w:hAnsi="Times New Roman" w:eastAsia="仿宋_GB2312" w:cs="Times New Roman"/>
                <w:color w:val="auto"/>
                <w:sz w:val="24"/>
                <w:szCs w:val="24"/>
              </w:rPr>
              <w:t>编制单位</w:t>
            </w:r>
            <w:r>
              <w:rPr>
                <w:rFonts w:hint="default"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eastAsia="zh-CN"/>
              </w:rPr>
              <w:t>江西致远环保股份有限公司</w:t>
            </w:r>
          </w:p>
        </w:tc>
      </w:tr>
      <w:tr w14:paraId="08CFC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738" w:type="dxa"/>
            <w:tcBorders>
              <w:tl2br w:val="nil"/>
              <w:tr2bl w:val="nil"/>
            </w:tcBorders>
            <w:noWrap w:val="0"/>
            <w:vAlign w:val="center"/>
          </w:tcPr>
          <w:p w14:paraId="579D6533">
            <w:pPr>
              <w:spacing w:line="360" w:lineRule="auto"/>
              <w:jc w:val="both"/>
              <w:rPr>
                <w:rFonts w:hint="default" w:ascii="仿宋_GB2312" w:eastAsia="仿宋_GB2312"/>
                <w:b/>
                <w:color w:val="auto"/>
                <w:sz w:val="24"/>
                <w:szCs w:val="24"/>
                <w:vertAlign w:val="baseline"/>
                <w:lang w:val="en-US" w:eastAsia="zh-CN"/>
              </w:rPr>
            </w:pPr>
            <w:r>
              <w:rPr>
                <w:rFonts w:hint="eastAsia" w:ascii="仿宋_GB2312" w:eastAsia="仿宋_GB2312"/>
                <w:color w:val="auto"/>
                <w:sz w:val="24"/>
                <w:szCs w:val="24"/>
              </w:rPr>
              <w:t>电话</w:t>
            </w:r>
            <w:r>
              <w:rPr>
                <w:rFonts w:hint="eastAsia" w:ascii="仿宋_GB2312" w:eastAsia="仿宋_GB2312"/>
                <w:color w:val="auto"/>
                <w:sz w:val="24"/>
                <w:szCs w:val="24"/>
                <w:lang w:eastAsia="zh-CN"/>
              </w:rPr>
              <w:t>：</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13679789036</w:t>
            </w:r>
          </w:p>
        </w:tc>
        <w:tc>
          <w:tcPr>
            <w:tcW w:w="4567" w:type="dxa"/>
            <w:tcBorders>
              <w:tl2br w:val="nil"/>
              <w:tr2bl w:val="nil"/>
            </w:tcBorders>
            <w:noWrap w:val="0"/>
            <w:vAlign w:val="center"/>
          </w:tcPr>
          <w:p w14:paraId="773AC43D">
            <w:pPr>
              <w:spacing w:line="360" w:lineRule="auto"/>
              <w:jc w:val="both"/>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电话</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lang w:val="en-US" w:eastAsia="zh-CN"/>
              </w:rPr>
              <w:t>0795-5281123</w:t>
            </w:r>
          </w:p>
        </w:tc>
      </w:tr>
      <w:tr w14:paraId="023E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738" w:type="dxa"/>
            <w:tcBorders>
              <w:tl2br w:val="nil"/>
              <w:tr2bl w:val="nil"/>
            </w:tcBorders>
            <w:noWrap w:val="0"/>
            <w:vAlign w:val="center"/>
          </w:tcPr>
          <w:p w14:paraId="487AF16A">
            <w:pPr>
              <w:spacing w:line="360" w:lineRule="auto"/>
              <w:jc w:val="both"/>
              <w:rPr>
                <w:rFonts w:hint="default" w:ascii="仿宋_GB2312" w:eastAsia="仿宋_GB2312"/>
                <w:b/>
                <w:color w:val="auto"/>
                <w:sz w:val="24"/>
                <w:szCs w:val="24"/>
                <w:vertAlign w:val="baseline"/>
                <w:lang w:val="en-US" w:eastAsia="zh-CN"/>
              </w:rPr>
            </w:pPr>
            <w:r>
              <w:rPr>
                <w:rFonts w:hint="eastAsia" w:ascii="仿宋_GB2312" w:eastAsia="仿宋_GB2312"/>
                <w:color w:val="auto"/>
                <w:sz w:val="24"/>
                <w:szCs w:val="24"/>
              </w:rPr>
              <w:t>传真</w:t>
            </w:r>
            <w:r>
              <w:rPr>
                <w:rFonts w:ascii="仿宋_GB2312" w:eastAsia="仿宋_GB2312"/>
                <w:color w:val="auto"/>
                <w:sz w:val="24"/>
                <w:szCs w:val="24"/>
              </w:rPr>
              <w:t>:</w:t>
            </w:r>
            <w:r>
              <w:rPr>
                <w:rFonts w:hint="eastAsia" w:ascii="仿宋_GB2312" w:eastAsia="仿宋_GB2312"/>
                <w:color w:val="auto"/>
                <w:sz w:val="24"/>
                <w:szCs w:val="24"/>
                <w:lang w:val="en-US" w:eastAsia="zh-CN"/>
              </w:rPr>
              <w:t>/</w:t>
            </w:r>
          </w:p>
        </w:tc>
        <w:tc>
          <w:tcPr>
            <w:tcW w:w="4567" w:type="dxa"/>
            <w:tcBorders>
              <w:tl2br w:val="nil"/>
              <w:tr2bl w:val="nil"/>
            </w:tcBorders>
            <w:noWrap w:val="0"/>
            <w:vAlign w:val="center"/>
          </w:tcPr>
          <w:p w14:paraId="03BD5C46">
            <w:pPr>
              <w:spacing w:line="360" w:lineRule="auto"/>
              <w:jc w:val="both"/>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传真</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 xml:space="preserve"> 0795-5281123</w:t>
            </w:r>
          </w:p>
        </w:tc>
      </w:tr>
      <w:tr w14:paraId="289FF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738" w:type="dxa"/>
            <w:tcBorders>
              <w:tl2br w:val="nil"/>
              <w:tr2bl w:val="nil"/>
            </w:tcBorders>
            <w:noWrap w:val="0"/>
            <w:vAlign w:val="center"/>
          </w:tcPr>
          <w:p w14:paraId="67180C33">
            <w:pPr>
              <w:spacing w:line="360" w:lineRule="auto"/>
              <w:jc w:val="both"/>
              <w:rPr>
                <w:rFonts w:hint="default" w:ascii="仿宋_GB2312" w:eastAsia="仿宋_GB2312"/>
                <w:b/>
                <w:color w:val="auto"/>
                <w:sz w:val="24"/>
                <w:szCs w:val="24"/>
                <w:vertAlign w:val="baseline"/>
                <w:lang w:val="en-US" w:eastAsia="zh-CN"/>
              </w:rPr>
            </w:pPr>
            <w:r>
              <w:rPr>
                <w:rFonts w:hint="eastAsia" w:ascii="仿宋_GB2312" w:eastAsia="仿宋_GB2312"/>
                <w:color w:val="auto"/>
                <w:sz w:val="24"/>
                <w:szCs w:val="24"/>
              </w:rPr>
              <w:t>邮编</w:t>
            </w:r>
            <w:r>
              <w:rPr>
                <w:rFonts w:hint="eastAsia" w:ascii="仿宋_GB2312" w:eastAsia="仿宋_GB2312"/>
                <w:color w:val="auto"/>
                <w:sz w:val="24"/>
                <w:szCs w:val="24"/>
                <w:lang w:eastAsia="zh-CN"/>
              </w:rPr>
              <w:t>：</w:t>
            </w: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lang w:val="en-US" w:eastAsia="zh-CN"/>
              </w:rPr>
              <w:t>330800</w:t>
            </w:r>
          </w:p>
        </w:tc>
        <w:tc>
          <w:tcPr>
            <w:tcW w:w="4567" w:type="dxa"/>
            <w:tcBorders>
              <w:tl2br w:val="nil"/>
              <w:tr2bl w:val="nil"/>
            </w:tcBorders>
            <w:noWrap w:val="0"/>
            <w:vAlign w:val="center"/>
          </w:tcPr>
          <w:p w14:paraId="1171DC77">
            <w:pPr>
              <w:spacing w:line="360" w:lineRule="auto"/>
              <w:jc w:val="both"/>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邮编</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lang w:val="en-US" w:eastAsia="zh-CN"/>
              </w:rPr>
              <w:t>330800</w:t>
            </w:r>
          </w:p>
        </w:tc>
      </w:tr>
      <w:tr w14:paraId="2E2D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738" w:type="dxa"/>
            <w:tcBorders>
              <w:tl2br w:val="nil"/>
              <w:tr2bl w:val="nil"/>
            </w:tcBorders>
            <w:noWrap w:val="0"/>
            <w:vAlign w:val="center"/>
          </w:tcPr>
          <w:p w14:paraId="73D4C513">
            <w:pPr>
              <w:keepNext w:val="0"/>
              <w:keepLines w:val="0"/>
              <w:pageBreakBefore w:val="0"/>
              <w:widowControl w:val="0"/>
              <w:kinsoku/>
              <w:wordWrap/>
              <w:overflowPunct/>
              <w:topLinePunct w:val="0"/>
              <w:autoSpaceDE/>
              <w:autoSpaceDN/>
              <w:bidi w:val="0"/>
              <w:adjustRightInd/>
              <w:snapToGrid/>
              <w:spacing w:line="360" w:lineRule="auto"/>
              <w:ind w:left="720" w:leftChars="0" w:hanging="720" w:hangingChars="300"/>
              <w:jc w:val="both"/>
              <w:textAlignment w:val="auto"/>
              <w:rPr>
                <w:rFonts w:hint="eastAsia" w:ascii="仿宋_GB2312" w:eastAsia="仿宋_GB2312"/>
                <w:b/>
                <w:color w:val="auto"/>
                <w:sz w:val="24"/>
                <w:szCs w:val="24"/>
                <w:vertAlign w:val="baseline"/>
                <w:lang w:val="en-US" w:eastAsia="zh-CN"/>
              </w:rPr>
            </w:pPr>
            <w:r>
              <w:rPr>
                <w:rFonts w:hint="eastAsia" w:ascii="仿宋_GB2312" w:eastAsia="仿宋_GB2312"/>
                <w:color w:val="auto"/>
                <w:sz w:val="24"/>
                <w:szCs w:val="24"/>
              </w:rPr>
              <w:t>地址</w:t>
            </w:r>
            <w:r>
              <w:rPr>
                <w:rFonts w:hint="eastAsia" w:ascii="仿宋_GB2312" w:eastAsia="仿宋_GB2312"/>
                <w:color w:val="auto"/>
                <w:sz w:val="24"/>
                <w:szCs w:val="24"/>
                <w:lang w:eastAsia="zh-CN"/>
              </w:rPr>
              <w:t>：江西省宜春市高安市独城镇独新路以北（江西省瑞丰制泵有限公司内）</w:t>
            </w:r>
          </w:p>
        </w:tc>
        <w:tc>
          <w:tcPr>
            <w:tcW w:w="4567" w:type="dxa"/>
            <w:tcBorders>
              <w:tl2br w:val="nil"/>
              <w:tr2bl w:val="nil"/>
            </w:tcBorders>
            <w:noWrap w:val="0"/>
            <w:vAlign w:val="center"/>
          </w:tcPr>
          <w:p w14:paraId="189DC678">
            <w:pPr>
              <w:spacing w:line="360" w:lineRule="auto"/>
              <w:jc w:val="both"/>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地址</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lang w:eastAsia="zh-CN"/>
              </w:rPr>
              <w:t>江西省高安市</w:t>
            </w:r>
            <w:r>
              <w:rPr>
                <w:rFonts w:hint="eastAsia" w:ascii="Times New Roman" w:hAnsi="Times New Roman" w:eastAsia="仿宋_GB2312" w:cs="Times New Roman"/>
                <w:color w:val="auto"/>
                <w:sz w:val="24"/>
                <w:szCs w:val="24"/>
                <w:lang w:val="en-US" w:eastAsia="zh-CN"/>
              </w:rPr>
              <w:t>紫东酒店4号楼</w:t>
            </w:r>
          </w:p>
        </w:tc>
      </w:tr>
    </w:tbl>
    <w:p w14:paraId="1D64C15C">
      <w:pPr>
        <w:pStyle w:val="9"/>
        <w:jc w:val="both"/>
        <w:rPr>
          <w:rFonts w:hint="eastAsia"/>
          <w:lang w:eastAsia="zh-CN"/>
        </w:rPr>
      </w:pPr>
    </w:p>
    <w:p w14:paraId="05AA7311">
      <w:pPr>
        <w:pStyle w:val="9"/>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cs="Times New Roman"/>
          <w:sz w:val="24"/>
          <w:szCs w:val="24"/>
          <w:lang w:eastAsia="zh-CN"/>
        </w:rPr>
      </w:pPr>
    </w:p>
    <w:p w14:paraId="5C1AC124">
      <w:pPr>
        <w:pStyle w:val="9"/>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cs="Times New Roman"/>
          <w:b/>
          <w:bCs/>
          <w:sz w:val="24"/>
          <w:szCs w:val="24"/>
          <w:lang w:eastAsia="zh-CN"/>
        </w:rPr>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p>
    <w:p w14:paraId="3D8500AA">
      <w:pPr>
        <w:pStyle w:val="9"/>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sz w:val="24"/>
          <w:szCs w:val="24"/>
          <w:lang w:eastAsia="zh-CN"/>
        </w:rPr>
      </w:pPr>
      <w:r>
        <w:rPr>
          <w:rFonts w:hint="default" w:ascii="Times New Roman" w:hAnsi="Times New Roman" w:cs="Times New Roman"/>
          <w:b/>
          <w:bCs/>
          <w:sz w:val="24"/>
          <w:szCs w:val="24"/>
          <w:lang w:eastAsia="zh-CN"/>
        </w:rPr>
        <w:t>目录</w:t>
      </w:r>
    </w:p>
    <w:p w14:paraId="4C606100">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bookmarkStart w:id="0" w:name="_Toc28660"/>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TOC \o "1-2" \h \u</w:instrText>
      </w:r>
      <w:r>
        <w:rPr>
          <w:rFonts w:hint="default" w:ascii="Times New Roman" w:hAnsi="Times New Roman" w:cs="Times New Roman"/>
          <w:color w:val="000000"/>
          <w:sz w:val="24"/>
          <w:szCs w:val="24"/>
          <w:lang w:val="en-US" w:eastAsia="zh-CN"/>
        </w:rPr>
        <w:instrText xml:space="preserve">\n2-2</w:instrText>
      </w:r>
      <w:r>
        <w:rPr>
          <w:rFonts w:hint="default" w:ascii="Times New Roman" w:hAnsi="Times New Roman" w:eastAsia="宋体" w:cs="Times New Roman"/>
          <w:color w:val="000000"/>
          <w:sz w:val="24"/>
          <w:szCs w:val="24"/>
        </w:rPr>
        <w:instrText xml:space="preserve">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_Toc28618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rPr>
        <w:t>表一</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建设项目基本情况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_Toc28618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6191B6D5">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_Toc27046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rPr>
        <w:t>表二</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工程建设内容</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_Toc27046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0CEBF6BF">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_Toc1384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rPr>
        <w:t>表三</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主要污染源、污染物处理和排放</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_Toc1384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09F9BAA4">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_Toc18133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lang w:val="en-US" w:eastAsia="zh-CN"/>
        </w:rPr>
        <w:t>表四 建设项目环境影响报告表主要结论及审批部门审批决定</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_Toc18133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6FF2D1DA">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_Toc29284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lang w:val="en-US" w:eastAsia="zh-CN"/>
        </w:rPr>
        <w:t>表五 验收监测质量保证及质量控制</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_Toc29284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64361A80">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_Toc22112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lang w:val="en-US" w:eastAsia="zh-CN"/>
        </w:rPr>
        <w:t>表六 验收监测内容</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_Toc22112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034E398F">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_Toc5091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val="0"/>
          <w:sz w:val="24"/>
          <w:szCs w:val="24"/>
          <w:lang w:val="en-US" w:eastAsia="zh-CN"/>
        </w:rPr>
        <w:t>表七 验收监测结果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_Toc5091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1D9EDA5E">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_Toc1703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lang w:val="en-US" w:eastAsia="zh-CN"/>
        </w:rPr>
        <w:t>表八 卫生防护距离</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20</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0D112AF9">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_Toc13666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lang w:val="en-US" w:eastAsia="zh-CN"/>
        </w:rPr>
        <w:t>表九 环保检查</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_Toc13666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5CC15B77">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_Toc14666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lang w:val="en-US" w:eastAsia="zh-CN"/>
        </w:rPr>
        <w:t>表十 验收结论</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_Toc14666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23</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00482457">
      <w:pPr>
        <w:pStyle w:val="21"/>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_Toc19894 </w:instrText>
      </w:r>
      <w:r>
        <w:rPr>
          <w:rFonts w:hint="default" w:ascii="Times New Roman" w:hAnsi="Times New Roman" w:eastAsia="宋体" w:cs="Times New Roman"/>
          <w:sz w:val="24"/>
          <w:szCs w:val="24"/>
        </w:rPr>
        <w:fldChar w:fldCharType="separate"/>
      </w:r>
      <w:r>
        <w:rPr>
          <w:rFonts w:hint="default" w:ascii="Times New Roman" w:hAnsi="Times New Roman" w:cs="Times New Roman"/>
          <w:sz w:val="24"/>
          <w:szCs w:val="24"/>
          <w:lang w:val="en-US" w:eastAsia="zh-CN"/>
        </w:rPr>
        <w:t>建设项目竣工环境保护“三同时”验收登记表</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_Toc19894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sz w:val="24"/>
          <w:szCs w:val="24"/>
        </w:rPr>
        <w:fldChar w:fldCharType="end"/>
      </w:r>
    </w:p>
    <w:p w14:paraId="3EDDC837">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_Toc32439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lang w:val="en-US" w:eastAsia="zh-CN"/>
        </w:rPr>
        <w:t>附图1 项目地理位置图</w:t>
      </w:r>
      <w:r>
        <w:rPr>
          <w:rFonts w:hint="default" w:ascii="Times New Roman" w:hAnsi="Times New Roman" w:eastAsia="宋体" w:cs="Times New Roman"/>
          <w:color w:val="000000"/>
          <w:sz w:val="24"/>
          <w:szCs w:val="24"/>
        </w:rPr>
        <w:fldChar w:fldCharType="end"/>
      </w:r>
    </w:p>
    <w:p w14:paraId="29713E27">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_Toc29912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lang w:val="en-US" w:eastAsia="zh-CN"/>
        </w:rPr>
        <w:t>附图2 项目平面布置图</w:t>
      </w:r>
      <w:r>
        <w:rPr>
          <w:rFonts w:hint="default" w:ascii="Times New Roman" w:hAnsi="Times New Roman" w:eastAsia="宋体" w:cs="Times New Roman"/>
          <w:color w:val="000000"/>
          <w:sz w:val="24"/>
          <w:szCs w:val="24"/>
        </w:rPr>
        <w:fldChar w:fldCharType="end"/>
      </w:r>
    </w:p>
    <w:p w14:paraId="10E6CC85">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_Toc15161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lang w:val="en-US" w:eastAsia="zh-CN"/>
        </w:rPr>
        <w:t>附图3 监测点位示意图</w:t>
      </w:r>
      <w:r>
        <w:rPr>
          <w:rFonts w:hint="default" w:ascii="Times New Roman" w:hAnsi="Times New Roman" w:eastAsia="宋体" w:cs="Times New Roman"/>
          <w:color w:val="000000"/>
          <w:sz w:val="24"/>
          <w:szCs w:val="24"/>
        </w:rPr>
        <w:fldChar w:fldCharType="end"/>
      </w:r>
    </w:p>
    <w:p w14:paraId="4566F5E9">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_Toc24885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sz w:val="24"/>
          <w:szCs w:val="24"/>
          <w:lang w:val="en-US" w:eastAsia="zh-CN"/>
        </w:rPr>
        <w:t>附图</w:t>
      </w:r>
      <w:r>
        <w:rPr>
          <w:rFonts w:hint="default" w:ascii="Times New Roman" w:hAnsi="Times New Roman" w:cs="Times New Roman"/>
          <w:bCs/>
          <w:sz w:val="24"/>
          <w:szCs w:val="24"/>
          <w:lang w:val="en-US" w:eastAsia="zh-CN"/>
        </w:rPr>
        <w:t>4</w:t>
      </w:r>
      <w:r>
        <w:rPr>
          <w:rFonts w:hint="default" w:ascii="Times New Roman" w:hAnsi="Times New Roman" w:eastAsia="宋体" w:cs="Times New Roman"/>
          <w:bCs/>
          <w:sz w:val="24"/>
          <w:szCs w:val="24"/>
          <w:lang w:val="en-US" w:eastAsia="zh-CN"/>
        </w:rPr>
        <w:t xml:space="preserve"> 项目卫生防护距离图</w:t>
      </w:r>
      <w:r>
        <w:rPr>
          <w:rFonts w:hint="default" w:ascii="Times New Roman" w:hAnsi="Times New Roman" w:eastAsia="宋体" w:cs="Times New Roman"/>
          <w:color w:val="000000"/>
          <w:sz w:val="24"/>
          <w:szCs w:val="24"/>
        </w:rPr>
        <w:fldChar w:fldCharType="end"/>
      </w:r>
    </w:p>
    <w:p w14:paraId="03D5FB0E">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_Toc27031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sz w:val="24"/>
          <w:szCs w:val="24"/>
        </w:rPr>
        <w:t>附</w:t>
      </w:r>
      <w:r>
        <w:rPr>
          <w:rFonts w:hint="default" w:ascii="Times New Roman" w:hAnsi="Times New Roman" w:eastAsia="宋体" w:cs="Times New Roman"/>
          <w:bCs/>
          <w:sz w:val="24"/>
          <w:szCs w:val="24"/>
          <w:lang w:eastAsia="zh-CN"/>
        </w:rPr>
        <w:t>图</w:t>
      </w:r>
      <w:r>
        <w:rPr>
          <w:rFonts w:hint="default" w:ascii="Times New Roman" w:hAnsi="Times New Roman" w:cs="Times New Roman"/>
          <w:bCs/>
          <w:sz w:val="24"/>
          <w:szCs w:val="24"/>
          <w:lang w:val="en-US" w:eastAsia="zh-CN"/>
        </w:rPr>
        <w:t xml:space="preserve">5 </w:t>
      </w:r>
      <w:r>
        <w:rPr>
          <w:rFonts w:hint="default" w:ascii="Times New Roman" w:hAnsi="Times New Roman" w:eastAsia="宋体" w:cs="Times New Roman"/>
          <w:bCs/>
          <w:sz w:val="24"/>
          <w:szCs w:val="24"/>
          <w:lang w:eastAsia="zh-CN"/>
        </w:rPr>
        <w:t>部分</w:t>
      </w:r>
      <w:r>
        <w:rPr>
          <w:rFonts w:hint="default" w:ascii="Times New Roman" w:hAnsi="Times New Roman" w:cs="Times New Roman"/>
          <w:bCs/>
          <w:sz w:val="24"/>
          <w:szCs w:val="24"/>
          <w:lang w:val="en-US" w:eastAsia="zh-CN"/>
        </w:rPr>
        <w:t>采样照片及环保设施照片</w:t>
      </w:r>
      <w:r>
        <w:rPr>
          <w:rFonts w:hint="default" w:ascii="Times New Roman" w:hAnsi="Times New Roman" w:eastAsia="宋体" w:cs="Times New Roman"/>
          <w:color w:val="000000"/>
          <w:sz w:val="24"/>
          <w:szCs w:val="24"/>
        </w:rPr>
        <w:fldChar w:fldCharType="end"/>
      </w:r>
    </w:p>
    <w:p w14:paraId="78E36BB6">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_Toc28764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rPr>
        <w:t>附件</w:t>
      </w:r>
      <w:r>
        <w:rPr>
          <w:rFonts w:hint="default" w:ascii="Times New Roman" w:hAnsi="Times New Roman" w:cs="Times New Roman"/>
          <w:bCs/>
          <w:sz w:val="24"/>
          <w:szCs w:val="24"/>
          <w:lang w:val="en-US" w:eastAsia="zh-CN"/>
        </w:rPr>
        <w:t xml:space="preserve">1 </w:t>
      </w:r>
      <w:r>
        <w:rPr>
          <w:rFonts w:hint="default" w:ascii="Times New Roman" w:hAnsi="Times New Roman" w:cs="Times New Roman"/>
          <w:bCs/>
          <w:sz w:val="24"/>
          <w:szCs w:val="24"/>
        </w:rPr>
        <w:t>验收监测委托书</w:t>
      </w:r>
      <w:r>
        <w:rPr>
          <w:rFonts w:hint="default" w:ascii="Times New Roman" w:hAnsi="Times New Roman" w:eastAsia="宋体" w:cs="Times New Roman"/>
          <w:color w:val="000000"/>
          <w:sz w:val="24"/>
          <w:szCs w:val="24"/>
        </w:rPr>
        <w:fldChar w:fldCharType="end"/>
      </w:r>
    </w:p>
    <w:p w14:paraId="06763E07">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_Toc3964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附件</w:t>
      </w:r>
      <w:r>
        <w:rPr>
          <w:rFonts w:hint="default" w:ascii="Times New Roman" w:hAnsi="Times New Roman" w:cs="Times New Roman"/>
          <w:bCs/>
          <w:kern w:val="2"/>
          <w:sz w:val="24"/>
          <w:szCs w:val="24"/>
          <w:lang w:val="en-US" w:eastAsia="zh-CN" w:bidi="ar-SA"/>
        </w:rPr>
        <w:t>2</w:t>
      </w:r>
      <w:r>
        <w:rPr>
          <w:rFonts w:hint="default" w:ascii="Times New Roman" w:hAnsi="Times New Roman" w:eastAsia="宋体" w:cs="Times New Roman"/>
          <w:bCs/>
          <w:kern w:val="2"/>
          <w:sz w:val="24"/>
          <w:szCs w:val="24"/>
          <w:lang w:val="en-US" w:eastAsia="zh-CN" w:bidi="ar-SA"/>
        </w:rPr>
        <w:t xml:space="preserve"> 环评批复</w:t>
      </w:r>
      <w:r>
        <w:rPr>
          <w:rFonts w:hint="default" w:ascii="Times New Roman" w:hAnsi="Times New Roman" w:eastAsia="宋体" w:cs="Times New Roman"/>
          <w:color w:val="000000"/>
          <w:sz w:val="24"/>
          <w:szCs w:val="24"/>
        </w:rPr>
        <w:fldChar w:fldCharType="end"/>
      </w:r>
    </w:p>
    <w:p w14:paraId="43DF1FD9">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_Toc7744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附件</w:t>
      </w:r>
      <w:r>
        <w:rPr>
          <w:rFonts w:hint="default" w:ascii="Times New Roman" w:hAnsi="Times New Roman"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 xml:space="preserve"> 检测报告</w:t>
      </w:r>
      <w:r>
        <w:rPr>
          <w:rFonts w:hint="default" w:ascii="Times New Roman" w:hAnsi="Times New Roman" w:eastAsia="宋体" w:cs="Times New Roman"/>
          <w:color w:val="000000"/>
          <w:sz w:val="24"/>
          <w:szCs w:val="24"/>
        </w:rPr>
        <w:fldChar w:fldCharType="end"/>
      </w:r>
    </w:p>
    <w:p w14:paraId="6F49E0F7">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_Toc23099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rPr>
        <w:t>附件</w:t>
      </w:r>
      <w:r>
        <w:rPr>
          <w:rFonts w:hint="default" w:ascii="Times New Roman" w:hAnsi="Times New Roman" w:cs="Times New Roman"/>
          <w:bCs/>
          <w:sz w:val="24"/>
          <w:szCs w:val="24"/>
          <w:lang w:val="en-US" w:eastAsia="zh-CN"/>
        </w:rPr>
        <w:t>4 排污登记回执</w:t>
      </w:r>
      <w:r>
        <w:rPr>
          <w:rFonts w:hint="default" w:ascii="Times New Roman" w:hAnsi="Times New Roman" w:eastAsia="宋体" w:cs="Times New Roman"/>
          <w:color w:val="000000"/>
          <w:sz w:val="24"/>
          <w:szCs w:val="24"/>
        </w:rPr>
        <w:fldChar w:fldCharType="end"/>
      </w:r>
    </w:p>
    <w:p w14:paraId="13DD97A9">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_Toc10088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rPr>
        <w:t>附件</w:t>
      </w:r>
      <w:r>
        <w:rPr>
          <w:rFonts w:hint="default" w:ascii="Times New Roman" w:hAnsi="Times New Roman" w:cs="Times New Roman"/>
          <w:bCs/>
          <w:sz w:val="24"/>
          <w:szCs w:val="24"/>
          <w:lang w:val="en-US" w:eastAsia="zh-CN"/>
        </w:rPr>
        <w:t>5 布袋除尘器调试及效果说明</w:t>
      </w:r>
      <w:r>
        <w:rPr>
          <w:rFonts w:hint="default" w:ascii="Times New Roman" w:hAnsi="Times New Roman" w:eastAsia="宋体" w:cs="Times New Roman"/>
          <w:color w:val="000000"/>
          <w:sz w:val="24"/>
          <w:szCs w:val="24"/>
        </w:rPr>
        <w:fldChar w:fldCharType="end"/>
      </w:r>
    </w:p>
    <w:p w14:paraId="26E59426">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_Toc20149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rPr>
        <w:t>附件</w:t>
      </w: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en-US" w:eastAsia="zh-CN"/>
        </w:rPr>
        <w:t>工况证明</w:t>
      </w:r>
      <w:r>
        <w:rPr>
          <w:rFonts w:hint="default" w:ascii="Times New Roman" w:hAnsi="Times New Roman" w:eastAsia="宋体" w:cs="Times New Roman"/>
          <w:color w:val="000000"/>
          <w:sz w:val="24"/>
          <w:szCs w:val="24"/>
        </w:rPr>
        <w:fldChar w:fldCharType="end"/>
      </w:r>
    </w:p>
    <w:p w14:paraId="1B180130">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_Toc13764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rPr>
        <w:t>附件</w:t>
      </w:r>
      <w:r>
        <w:rPr>
          <w:rFonts w:hint="default" w:ascii="Times New Roman" w:hAnsi="Times New Roman" w:cs="Times New Roman"/>
          <w:bCs/>
          <w:sz w:val="24"/>
          <w:szCs w:val="24"/>
          <w:lang w:val="en-US" w:eastAsia="zh-CN"/>
        </w:rPr>
        <w:t>7</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en-US" w:eastAsia="zh-CN"/>
        </w:rPr>
        <w:t>生活污水清掏证明</w:t>
      </w:r>
      <w:r>
        <w:rPr>
          <w:rFonts w:hint="default" w:ascii="Times New Roman" w:hAnsi="Times New Roman" w:eastAsia="宋体" w:cs="Times New Roman"/>
          <w:color w:val="000000"/>
          <w:sz w:val="24"/>
          <w:szCs w:val="24"/>
        </w:rPr>
        <w:fldChar w:fldCharType="end"/>
      </w:r>
    </w:p>
    <w:p w14:paraId="4E5948D8">
      <w:pPr>
        <w:pStyle w:val="23"/>
        <w:keepNext w:val="0"/>
        <w:keepLines w:val="0"/>
        <w:pageBreakBefore w:val="0"/>
        <w:widowControl w:val="0"/>
        <w:tabs>
          <w:tab w:val="right" w:leader="dot" w:pos="8300"/>
        </w:tabs>
        <w:kinsoku/>
        <w:wordWrap/>
        <w:overflowPunct/>
        <w:topLinePunct w:val="0"/>
        <w:autoSpaceDE/>
        <w:autoSpaceDN/>
        <w:bidi w:val="0"/>
        <w:spacing w:line="36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sz w:val="24"/>
          <w:szCs w:val="24"/>
        </w:rPr>
        <w:instrText xml:space="preserve"> HYPERLINK \l _Toc3430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sz w:val="24"/>
          <w:szCs w:val="24"/>
        </w:rPr>
        <w:t>附件</w:t>
      </w:r>
      <w:r>
        <w:rPr>
          <w:rFonts w:hint="default" w:ascii="Times New Roman" w:hAnsi="Times New Roman" w:cs="Times New Roman"/>
          <w:bCs/>
          <w:sz w:val="24"/>
          <w:szCs w:val="24"/>
          <w:lang w:val="en-US" w:eastAsia="zh-CN"/>
        </w:rPr>
        <w:t>8</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en-US" w:eastAsia="zh-CN"/>
        </w:rPr>
        <w:t>自主验收意见</w:t>
      </w:r>
      <w:r>
        <w:rPr>
          <w:rFonts w:hint="default" w:ascii="Times New Roman" w:hAnsi="Times New Roman" w:eastAsia="宋体" w:cs="Times New Roman"/>
          <w:color w:val="000000"/>
          <w:sz w:val="24"/>
          <w:szCs w:val="24"/>
        </w:rPr>
        <w:fldChar w:fldCharType="end"/>
      </w:r>
    </w:p>
    <w:p w14:paraId="1282DEC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fldChar w:fldCharType="end"/>
      </w:r>
    </w:p>
    <w:p w14:paraId="3D2A2EEC">
      <w:pPr>
        <w:pStyle w:val="2"/>
        <w:rPr>
          <w:sz w:val="28"/>
          <w:szCs w:val="28"/>
        </w:rPr>
        <w:sectPr>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1" w:name="_Toc17262"/>
      <w:bookmarkStart w:id="2" w:name="_Toc1367"/>
    </w:p>
    <w:p w14:paraId="2FE4EB9D">
      <w:pPr>
        <w:pStyle w:val="2"/>
        <w:rPr>
          <w:rFonts w:hint="eastAsia"/>
          <w:sz w:val="28"/>
          <w:szCs w:val="28"/>
          <w:lang w:val="en-US" w:eastAsia="zh-CN"/>
        </w:rPr>
      </w:pPr>
      <w:bookmarkStart w:id="3" w:name="_Toc28618"/>
      <w:r>
        <w:rPr>
          <w:sz w:val="28"/>
          <w:szCs w:val="28"/>
        </w:rPr>
        <w:t>表一</w:t>
      </w:r>
      <w:r>
        <w:rPr>
          <w:rFonts w:hint="eastAsia"/>
          <w:sz w:val="28"/>
          <w:szCs w:val="28"/>
          <w:lang w:val="en-US" w:eastAsia="zh-CN"/>
        </w:rPr>
        <w:t xml:space="preserve"> </w:t>
      </w:r>
      <w:r>
        <w:rPr>
          <w:sz w:val="28"/>
          <w:szCs w:val="28"/>
        </w:rPr>
        <w:t>建设项目基本情况</w:t>
      </w:r>
      <w:bookmarkEnd w:id="0"/>
      <w:bookmarkEnd w:id="1"/>
      <w:bookmarkEnd w:id="2"/>
      <w:bookmarkEnd w:id="3"/>
    </w:p>
    <w:tbl>
      <w:tblPr>
        <w:tblStyle w:val="24"/>
        <w:tblW w:w="86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2329"/>
        <w:gridCol w:w="1915"/>
        <w:gridCol w:w="1200"/>
        <w:gridCol w:w="703"/>
        <w:gridCol w:w="999"/>
      </w:tblGrid>
      <w:tr w14:paraId="1221A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498" w:type="dxa"/>
            <w:noWrap w:val="0"/>
            <w:vAlign w:val="center"/>
          </w:tcPr>
          <w:p w14:paraId="3B8E58E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建设项目名称</w:t>
            </w:r>
          </w:p>
        </w:tc>
        <w:tc>
          <w:tcPr>
            <w:tcW w:w="7146" w:type="dxa"/>
            <w:gridSpan w:val="5"/>
            <w:noWrap w:val="0"/>
            <w:vAlign w:val="center"/>
          </w:tcPr>
          <w:p w14:paraId="7C05BFE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lang w:val="en-US"/>
              </w:rPr>
            </w:pPr>
            <w:r>
              <w:rPr>
                <w:rFonts w:hint="eastAsia" w:ascii="Times New Roman" w:hAnsi="Times New Roman" w:cs="Times New Roman"/>
                <w:color w:val="auto"/>
                <w:sz w:val="21"/>
                <w:szCs w:val="21"/>
                <w:lang w:val="en-US" w:eastAsia="zh-CN"/>
              </w:rPr>
              <w:t>佛山康立泰数码科技有限公司江西分公司年产6万吨陶瓷原料生产建设项目</w:t>
            </w:r>
          </w:p>
        </w:tc>
      </w:tr>
      <w:tr w14:paraId="7FF38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5FB9FAE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建设单位名称</w:t>
            </w:r>
          </w:p>
        </w:tc>
        <w:tc>
          <w:tcPr>
            <w:tcW w:w="7146" w:type="dxa"/>
            <w:gridSpan w:val="5"/>
            <w:noWrap w:val="0"/>
            <w:vAlign w:val="center"/>
          </w:tcPr>
          <w:p w14:paraId="74CB640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rPr>
            </w:pPr>
            <w:r>
              <w:rPr>
                <w:rFonts w:hint="eastAsia" w:ascii="Times New Roman" w:hAnsi="Times New Roman" w:cs="Times New Roman"/>
                <w:color w:val="auto"/>
                <w:sz w:val="21"/>
                <w:szCs w:val="21"/>
                <w:lang w:val="en-US" w:eastAsia="zh-CN"/>
              </w:rPr>
              <w:t>佛山康立泰数码科技有限公司江西分公司</w:t>
            </w:r>
          </w:p>
        </w:tc>
      </w:tr>
      <w:tr w14:paraId="1733F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131B781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建设项目性质</w:t>
            </w:r>
          </w:p>
        </w:tc>
        <w:tc>
          <w:tcPr>
            <w:tcW w:w="7146" w:type="dxa"/>
            <w:gridSpan w:val="5"/>
            <w:noWrap w:val="0"/>
            <w:vAlign w:val="center"/>
          </w:tcPr>
          <w:p w14:paraId="2E799B9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rPr>
            </w:pPr>
            <w:r>
              <w:rPr>
                <w:rFonts w:hint="eastAsia" w:ascii="宋体" w:hAnsi="宋体" w:eastAsia="宋体"/>
                <w:color w:val="000000"/>
                <w:sz w:val="21"/>
                <w:szCs w:val="21"/>
                <w:lang w:eastAsia="zh-CN"/>
              </w:rPr>
              <w:t>√</w:t>
            </w:r>
            <w:r>
              <w:rPr>
                <w:rFonts w:ascii="宋体" w:hAnsi="宋体" w:eastAsia="宋体"/>
                <w:color w:val="000000"/>
                <w:sz w:val="21"/>
                <w:szCs w:val="21"/>
              </w:rPr>
              <w:t>新建  改扩建  技改  迁建</w:t>
            </w:r>
          </w:p>
        </w:tc>
      </w:tr>
      <w:tr w14:paraId="13E69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498" w:type="dxa"/>
            <w:noWrap w:val="0"/>
            <w:vAlign w:val="center"/>
          </w:tcPr>
          <w:p w14:paraId="505D425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建设地点</w:t>
            </w:r>
          </w:p>
        </w:tc>
        <w:tc>
          <w:tcPr>
            <w:tcW w:w="7146" w:type="dxa"/>
            <w:gridSpan w:val="5"/>
            <w:noWrap w:val="0"/>
            <w:vAlign w:val="center"/>
          </w:tcPr>
          <w:p w14:paraId="62A1EF3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rPr>
            </w:pPr>
            <w:r>
              <w:rPr>
                <w:rFonts w:hint="eastAsia" w:ascii="Times New Roman" w:hAnsi="Times New Roman" w:cs="Times New Roman"/>
                <w:color w:val="auto"/>
                <w:sz w:val="21"/>
                <w:szCs w:val="21"/>
                <w:lang w:val="en-US" w:eastAsia="zh-CN"/>
              </w:rPr>
              <w:t>江西省宜春市高安市独城镇独新路以北（江西省瑞丰制泵有限公司内）</w:t>
            </w:r>
          </w:p>
        </w:tc>
      </w:tr>
      <w:tr w14:paraId="23D2D8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2A4DCE6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主要产品名称</w:t>
            </w:r>
          </w:p>
        </w:tc>
        <w:tc>
          <w:tcPr>
            <w:tcW w:w="7146" w:type="dxa"/>
            <w:gridSpan w:val="5"/>
            <w:noWrap w:val="0"/>
            <w:vAlign w:val="center"/>
          </w:tcPr>
          <w:p w14:paraId="7CF83DB0">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rPr>
            </w:pPr>
            <w:r>
              <w:rPr>
                <w:rFonts w:hint="eastAsia" w:ascii="Times New Roman" w:hAnsi="Times New Roman" w:cs="Times New Roman"/>
                <w:color w:val="auto"/>
                <w:sz w:val="21"/>
                <w:szCs w:val="21"/>
                <w:lang w:val="en-US" w:eastAsia="zh-CN"/>
              </w:rPr>
              <w:t>陶瓷原料</w:t>
            </w:r>
          </w:p>
        </w:tc>
      </w:tr>
      <w:tr w14:paraId="4F415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2648C96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设计生产能力</w:t>
            </w:r>
          </w:p>
        </w:tc>
        <w:tc>
          <w:tcPr>
            <w:tcW w:w="7146" w:type="dxa"/>
            <w:gridSpan w:val="5"/>
            <w:noWrap w:val="0"/>
            <w:vAlign w:val="center"/>
          </w:tcPr>
          <w:p w14:paraId="3A7C8F5E">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sz w:val="21"/>
                <w:szCs w:val="21"/>
                <w:lang w:val="en-US"/>
              </w:rPr>
            </w:pPr>
            <w:r>
              <w:rPr>
                <w:rFonts w:hint="eastAsia" w:ascii="Times New Roman" w:hAnsi="Times New Roman" w:cs="Times New Roman"/>
                <w:color w:val="auto"/>
                <w:sz w:val="21"/>
                <w:szCs w:val="21"/>
                <w:lang w:val="en-US" w:eastAsia="zh-CN"/>
              </w:rPr>
              <w:t>年产6万吨陶瓷原料</w:t>
            </w:r>
          </w:p>
        </w:tc>
      </w:tr>
      <w:tr w14:paraId="2B25B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6AEF31A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实际生产能力</w:t>
            </w:r>
          </w:p>
        </w:tc>
        <w:tc>
          <w:tcPr>
            <w:tcW w:w="7146" w:type="dxa"/>
            <w:gridSpan w:val="5"/>
            <w:noWrap w:val="0"/>
            <w:vAlign w:val="center"/>
          </w:tcPr>
          <w:p w14:paraId="48BBA6A4">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sz w:val="21"/>
                <w:szCs w:val="21"/>
                <w:lang w:val="en-US"/>
              </w:rPr>
            </w:pPr>
            <w:r>
              <w:rPr>
                <w:rFonts w:hint="eastAsia" w:ascii="Times New Roman" w:hAnsi="Times New Roman" w:cs="Times New Roman"/>
                <w:color w:val="auto"/>
                <w:sz w:val="21"/>
                <w:szCs w:val="21"/>
                <w:lang w:val="en-US" w:eastAsia="zh-CN"/>
              </w:rPr>
              <w:t>年产6万吨陶瓷原料</w:t>
            </w:r>
          </w:p>
        </w:tc>
      </w:tr>
      <w:tr w14:paraId="3FEC5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498" w:type="dxa"/>
            <w:noWrap w:val="0"/>
            <w:vAlign w:val="center"/>
          </w:tcPr>
          <w:p w14:paraId="4511787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建设项目环评时间</w:t>
            </w:r>
          </w:p>
        </w:tc>
        <w:tc>
          <w:tcPr>
            <w:tcW w:w="2329" w:type="dxa"/>
            <w:noWrap w:val="0"/>
            <w:vAlign w:val="center"/>
          </w:tcPr>
          <w:p w14:paraId="7F1CBF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r>
              <w:rPr>
                <w:rFonts w:hint="eastAsia" w:ascii="Times New Roman" w:hAnsi="Times New Roman" w:cs="Times New Roman"/>
                <w:color w:val="000000" w:themeColor="text1"/>
                <w:sz w:val="21"/>
                <w:szCs w:val="21"/>
                <w:lang w:val="en-US" w:eastAsia="zh-CN"/>
                <w14:textFill>
                  <w14:solidFill>
                    <w14:schemeClr w14:val="tx1"/>
                  </w14:solidFill>
                </w14:textFill>
              </w:rPr>
              <w:t>25年3月</w:t>
            </w:r>
          </w:p>
        </w:tc>
        <w:tc>
          <w:tcPr>
            <w:tcW w:w="1915" w:type="dxa"/>
            <w:noWrap w:val="0"/>
            <w:vAlign w:val="center"/>
          </w:tcPr>
          <w:p w14:paraId="2A65EE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开工建设时间</w:t>
            </w:r>
          </w:p>
        </w:tc>
        <w:tc>
          <w:tcPr>
            <w:tcW w:w="2902" w:type="dxa"/>
            <w:gridSpan w:val="3"/>
            <w:noWrap w:val="0"/>
            <w:vAlign w:val="center"/>
          </w:tcPr>
          <w:p w14:paraId="0DD5751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r>
              <w:rPr>
                <w:rFonts w:hint="eastAsia" w:ascii="Times New Roman" w:hAnsi="Times New Roman" w:cs="Times New Roman"/>
                <w:color w:val="000000" w:themeColor="text1"/>
                <w:sz w:val="21"/>
                <w:szCs w:val="21"/>
                <w:lang w:val="en-US" w:eastAsia="zh-CN"/>
                <w14:textFill>
                  <w14:solidFill>
                    <w14:schemeClr w14:val="tx1"/>
                  </w14:solidFill>
                </w14:textFill>
              </w:rPr>
              <w:t>25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年</w:t>
            </w:r>
            <w:r>
              <w:rPr>
                <w:rFonts w:hint="eastAsia" w:ascii="Times New Roman" w:hAnsi="Times New Roman" w:cs="Times New Roman"/>
                <w:color w:val="000000" w:themeColor="text1"/>
                <w:sz w:val="21"/>
                <w:szCs w:val="21"/>
                <w:lang w:val="en-US" w:eastAsia="zh-CN"/>
                <w14:textFill>
                  <w14:solidFill>
                    <w14:schemeClr w14:val="tx1"/>
                  </w14:solidFill>
                </w14:textFill>
              </w:rPr>
              <w:t>8</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月</w:t>
            </w:r>
          </w:p>
        </w:tc>
      </w:tr>
      <w:tr w14:paraId="11D1D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498" w:type="dxa"/>
            <w:noWrap w:val="0"/>
            <w:vAlign w:val="center"/>
          </w:tcPr>
          <w:p w14:paraId="37E35F9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调试时间</w:t>
            </w:r>
          </w:p>
        </w:tc>
        <w:tc>
          <w:tcPr>
            <w:tcW w:w="2329" w:type="dxa"/>
            <w:noWrap w:val="0"/>
            <w:vAlign w:val="center"/>
          </w:tcPr>
          <w:p w14:paraId="3E08A4B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w:t>
            </w:r>
            <w:r>
              <w:rPr>
                <w:rFonts w:hint="eastAsia" w:ascii="Times New Roman" w:hAnsi="Times New Roman" w:cs="Times New Roman"/>
                <w:color w:val="000000" w:themeColor="text1"/>
                <w:sz w:val="21"/>
                <w:szCs w:val="21"/>
                <w:lang w:val="en-US" w:eastAsia="zh-CN"/>
                <w14:textFill>
                  <w14:solidFill>
                    <w14:schemeClr w14:val="tx1"/>
                  </w14:solidFill>
                </w14:textFill>
              </w:rPr>
              <w:t>25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年</w:t>
            </w:r>
            <w:r>
              <w:rPr>
                <w:rFonts w:hint="eastAsia" w:ascii="Times New Roman" w:hAnsi="Times New Roman" w:cs="Times New Roman"/>
                <w:color w:val="000000" w:themeColor="text1"/>
                <w:sz w:val="21"/>
                <w:szCs w:val="21"/>
                <w:lang w:val="en-US" w:eastAsia="zh-CN"/>
                <w14:textFill>
                  <w14:solidFill>
                    <w14:schemeClr w14:val="tx1"/>
                  </w14:solidFill>
                </w14:textFill>
              </w:rPr>
              <w:t>9</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月</w:t>
            </w:r>
          </w:p>
        </w:tc>
        <w:tc>
          <w:tcPr>
            <w:tcW w:w="1915" w:type="dxa"/>
            <w:noWrap w:val="0"/>
            <w:vAlign w:val="center"/>
          </w:tcPr>
          <w:p w14:paraId="4430C05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验收现场监测时间</w:t>
            </w:r>
          </w:p>
        </w:tc>
        <w:tc>
          <w:tcPr>
            <w:tcW w:w="2902" w:type="dxa"/>
            <w:gridSpan w:val="3"/>
            <w:noWrap w:val="0"/>
            <w:vAlign w:val="center"/>
          </w:tcPr>
          <w:p w14:paraId="67D0EB7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2026.7.2-2026.7.3</w:t>
            </w:r>
          </w:p>
        </w:tc>
      </w:tr>
      <w:tr w14:paraId="18F7A3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498" w:type="dxa"/>
            <w:noWrap w:val="0"/>
            <w:vAlign w:val="center"/>
          </w:tcPr>
          <w:p w14:paraId="3D1FD69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1857B57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审批部门</w:t>
            </w:r>
          </w:p>
        </w:tc>
        <w:tc>
          <w:tcPr>
            <w:tcW w:w="2329" w:type="dxa"/>
            <w:noWrap w:val="0"/>
            <w:vAlign w:val="center"/>
          </w:tcPr>
          <w:p w14:paraId="3815F84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val="en-US" w:eastAsia="zh-CN"/>
              </w:rPr>
              <w:t>宜春市高安生态环境局</w:t>
            </w:r>
          </w:p>
        </w:tc>
        <w:tc>
          <w:tcPr>
            <w:tcW w:w="1915" w:type="dxa"/>
            <w:noWrap w:val="0"/>
            <w:vAlign w:val="center"/>
          </w:tcPr>
          <w:p w14:paraId="77D4813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04A8374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编制单位</w:t>
            </w:r>
          </w:p>
        </w:tc>
        <w:tc>
          <w:tcPr>
            <w:tcW w:w="2902" w:type="dxa"/>
            <w:gridSpan w:val="3"/>
            <w:noWrap w:val="0"/>
            <w:vAlign w:val="center"/>
          </w:tcPr>
          <w:p w14:paraId="090D5A6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eastAsia="zh-CN"/>
              </w:rPr>
              <w:t>江西博瑄环保有限公司</w:t>
            </w:r>
          </w:p>
        </w:tc>
      </w:tr>
      <w:tr w14:paraId="05E451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445E95D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投资总概算</w:t>
            </w:r>
          </w:p>
        </w:tc>
        <w:tc>
          <w:tcPr>
            <w:tcW w:w="2329" w:type="dxa"/>
            <w:noWrap w:val="0"/>
            <w:vAlign w:val="center"/>
          </w:tcPr>
          <w:p w14:paraId="25E70E8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r>
              <w:rPr>
                <w:rFonts w:hint="default" w:ascii="Times New Roman" w:hAnsi="Times New Roman" w:eastAsia="宋体" w:cs="Times New Roman"/>
                <w:color w:val="000000"/>
                <w:sz w:val="21"/>
                <w:szCs w:val="21"/>
                <w:lang w:val="en-US" w:eastAsia="zh-CN"/>
              </w:rPr>
              <w:t>万元</w:t>
            </w:r>
          </w:p>
        </w:tc>
        <w:tc>
          <w:tcPr>
            <w:tcW w:w="1915" w:type="dxa"/>
            <w:noWrap w:val="0"/>
            <w:vAlign w:val="center"/>
          </w:tcPr>
          <w:p w14:paraId="3BB6ACD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环保投资总概算</w:t>
            </w:r>
          </w:p>
        </w:tc>
        <w:tc>
          <w:tcPr>
            <w:tcW w:w="1200" w:type="dxa"/>
            <w:noWrap w:val="0"/>
            <w:vAlign w:val="center"/>
          </w:tcPr>
          <w:p w14:paraId="38ECA71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30</w:t>
            </w:r>
            <w:r>
              <w:rPr>
                <w:rFonts w:hint="default" w:ascii="Times New Roman" w:hAnsi="Times New Roman" w:eastAsia="宋体" w:cs="Times New Roman"/>
                <w:color w:val="000000"/>
                <w:sz w:val="21"/>
                <w:szCs w:val="21"/>
                <w:lang w:val="en-US" w:eastAsia="zh-CN"/>
              </w:rPr>
              <w:t>万元</w:t>
            </w:r>
          </w:p>
        </w:tc>
        <w:tc>
          <w:tcPr>
            <w:tcW w:w="703" w:type="dxa"/>
            <w:noWrap w:val="0"/>
            <w:vAlign w:val="center"/>
          </w:tcPr>
          <w:p w14:paraId="6F1E82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比例</w:t>
            </w:r>
          </w:p>
        </w:tc>
        <w:tc>
          <w:tcPr>
            <w:tcW w:w="999" w:type="dxa"/>
            <w:noWrap w:val="0"/>
            <w:vAlign w:val="center"/>
          </w:tcPr>
          <w:p w14:paraId="617513B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eastAsia" w:ascii="Times New Roman" w:hAnsi="Times New Roman" w:cs="Times New Roman"/>
                <w:color w:val="000000"/>
                <w:sz w:val="21"/>
                <w:szCs w:val="21"/>
                <w:lang w:val="en-US" w:eastAsia="zh-CN"/>
              </w:rPr>
              <w:t>2%</w:t>
            </w:r>
          </w:p>
        </w:tc>
      </w:tr>
      <w:tr w14:paraId="31273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498" w:type="dxa"/>
            <w:noWrap w:val="0"/>
            <w:vAlign w:val="center"/>
          </w:tcPr>
          <w:p w14:paraId="62F5062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实际总概算</w:t>
            </w:r>
          </w:p>
        </w:tc>
        <w:tc>
          <w:tcPr>
            <w:tcW w:w="2329" w:type="dxa"/>
            <w:noWrap w:val="0"/>
            <w:vAlign w:val="center"/>
          </w:tcPr>
          <w:p w14:paraId="7AA0000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1500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1915" w:type="dxa"/>
            <w:noWrap w:val="0"/>
            <w:vAlign w:val="center"/>
          </w:tcPr>
          <w:p w14:paraId="7F4D77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环保投资</w:t>
            </w:r>
          </w:p>
        </w:tc>
        <w:tc>
          <w:tcPr>
            <w:tcW w:w="1200" w:type="dxa"/>
            <w:noWrap w:val="0"/>
            <w:vAlign w:val="center"/>
          </w:tcPr>
          <w:p w14:paraId="6730E38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703" w:type="dxa"/>
            <w:noWrap w:val="0"/>
            <w:vAlign w:val="center"/>
          </w:tcPr>
          <w:p w14:paraId="55BFE94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999" w:type="dxa"/>
            <w:noWrap w:val="0"/>
            <w:vAlign w:val="center"/>
          </w:tcPr>
          <w:p w14:paraId="1A7A47C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1.47%</w:t>
            </w:r>
          </w:p>
        </w:tc>
      </w:tr>
      <w:tr w14:paraId="576A71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29" w:hRule="atLeast"/>
          <w:jc w:val="center"/>
        </w:trPr>
        <w:tc>
          <w:tcPr>
            <w:tcW w:w="1498" w:type="dxa"/>
            <w:noWrap w:val="0"/>
            <w:vAlign w:val="center"/>
          </w:tcPr>
          <w:p w14:paraId="0C4E8E0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验收监测依据</w:t>
            </w:r>
          </w:p>
        </w:tc>
        <w:tc>
          <w:tcPr>
            <w:tcW w:w="7146" w:type="dxa"/>
            <w:gridSpan w:val="5"/>
            <w:noWrap w:val="0"/>
            <w:vAlign w:val="center"/>
          </w:tcPr>
          <w:p w14:paraId="6348D9C5">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1.《中华人民共和国</w:t>
            </w:r>
            <w:r>
              <w:rPr>
                <w:rFonts w:hint="eastAsia" w:ascii="Times New Roman" w:hAnsi="Times New Roman" w:cs="Times New Roman"/>
                <w:color w:val="auto"/>
                <w:lang w:val="en-US" w:eastAsia="zh-CN"/>
              </w:rPr>
              <w:t>生态环境法典</w:t>
            </w:r>
            <w:r>
              <w:rPr>
                <w:rFonts w:hint="default" w:ascii="Times New Roman" w:hAnsi="Times New Roman" w:eastAsia="宋体" w:cs="Times New Roman"/>
                <w:color w:val="auto"/>
                <w:lang w:val="en-US" w:eastAsia="zh-CN"/>
              </w:rPr>
              <w:t>》20</w:t>
            </w:r>
            <w:r>
              <w:rPr>
                <w:rFonts w:hint="eastAsia" w:ascii="Times New Roman" w:hAnsi="Times New Roman" w:cs="Times New Roman"/>
                <w:color w:val="auto"/>
                <w:lang w:val="en-US" w:eastAsia="zh-CN"/>
              </w:rPr>
              <w:t>26</w:t>
            </w:r>
            <w:r>
              <w:rPr>
                <w:rFonts w:hint="default" w:ascii="Times New Roman" w:hAnsi="Times New Roman" w:eastAsia="宋体" w:cs="Times New Roman"/>
                <w:color w:val="auto"/>
                <w:lang w:val="en-US" w:eastAsia="zh-CN"/>
              </w:rPr>
              <w:t>-0</w:t>
            </w:r>
            <w:r>
              <w:rPr>
                <w:rFonts w:hint="eastAsia" w:ascii="Times New Roman" w:hAnsi="Times New Roman" w:cs="Times New Roman"/>
                <w:color w:val="auto"/>
                <w:lang w:val="en-US" w:eastAsia="zh-CN"/>
              </w:rPr>
              <w:t>8</w:t>
            </w:r>
            <w:r>
              <w:rPr>
                <w:rFonts w:hint="default"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15</w:t>
            </w:r>
          </w:p>
          <w:p w14:paraId="16A7039F">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2.国务院关于修改《建设项目环境保护管理条例》的决定国务院令第682号《关于印发建设项目竣工环境保护验收现场检查及审查要点的通知》（环办〔2015〕113号）执行</w:t>
            </w:r>
          </w:p>
          <w:p w14:paraId="5C445D13">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r>
              <w:rPr>
                <w:rFonts w:hint="default" w:ascii="Times New Roman" w:hAnsi="Times New Roman" w:eastAsia="宋体" w:cs="Times New Roman"/>
                <w:color w:val="auto"/>
                <w:lang w:val="en-US" w:eastAsia="zh-CN"/>
              </w:rPr>
              <w:t>.《建设项目竣工环境保护验收暂行办法》国环规环评</w:t>
            </w:r>
            <w:r>
              <w:rPr>
                <w:rFonts w:hint="eastAsia" w:ascii="Times New Roman" w:hAnsi="Times New Roman" w:cs="Times New Roman"/>
                <w:color w:val="auto"/>
                <w:lang w:val="en-US" w:eastAsia="zh-CN"/>
              </w:rPr>
              <w:t>〔2017〕4号</w:t>
            </w:r>
          </w:p>
          <w:p w14:paraId="4525B69F">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w:t>
            </w:r>
            <w:r>
              <w:rPr>
                <w:rFonts w:hint="default" w:ascii="Times New Roman" w:hAnsi="Times New Roman" w:eastAsia="宋体" w:cs="Times New Roman"/>
                <w:color w:val="auto"/>
                <w:lang w:val="en-US" w:eastAsia="zh-CN"/>
              </w:rPr>
              <w:t>.《建设项目竣工环境保护验收技术指南污染影响类》环办环评函</w:t>
            </w:r>
            <w:r>
              <w:rPr>
                <w:rFonts w:hint="eastAsia" w:ascii="Times New Roman" w:hAnsi="Times New Roman" w:cs="Times New Roman"/>
                <w:color w:val="auto"/>
                <w:lang w:val="en-US" w:eastAsia="zh-CN"/>
              </w:rPr>
              <w:t>〔2018〕9号</w:t>
            </w:r>
          </w:p>
          <w:p w14:paraId="32423ED5">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5</w:t>
            </w:r>
            <w:r>
              <w:rPr>
                <w:rFonts w:hint="eastAsia" w:ascii="Times New Roman" w:hAnsi="Times New Roman" w:eastAsia="宋体" w:cs="Times New Roman"/>
                <w:color w:val="auto"/>
                <w:lang w:val="en-US" w:eastAsia="zh-CN"/>
              </w:rPr>
              <w:t>.</w:t>
            </w:r>
            <w:r>
              <w:rPr>
                <w:rFonts w:hint="eastAsia" w:ascii="Times New Roman" w:hAnsi="Times New Roman" w:cs="Times New Roman"/>
                <w:color w:val="000000"/>
                <w:sz w:val="21"/>
                <w:szCs w:val="21"/>
                <w:lang w:eastAsia="zh-CN"/>
              </w:rPr>
              <w:t>江西博瑄环保有限公司</w:t>
            </w:r>
            <w:r>
              <w:rPr>
                <w:rFonts w:hint="eastAsia" w:ascii="Times New Roman" w:hAnsi="Times New Roman" w:cs="Times New Roman"/>
                <w:color w:val="auto"/>
                <w:lang w:val="en-US" w:eastAsia="zh-CN"/>
              </w:rPr>
              <w:t>《佛山康立泰数码科技有限公司江西分公司年产6万吨陶瓷原料生产建设项目环境影响报告表》（2025年3月）</w:t>
            </w:r>
          </w:p>
          <w:p w14:paraId="59C30803">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w:t>
            </w:r>
            <w:r>
              <w:rPr>
                <w:rFonts w:hint="eastAsia" w:ascii="Times New Roman" w:hAnsi="Times New Roman" w:cs="Times New Roman"/>
                <w:color w:val="auto"/>
                <w:lang w:val="en-US" w:eastAsia="zh-CN"/>
              </w:rPr>
              <w:t>宜春市高安生态环境局</w:t>
            </w:r>
            <w:r>
              <w:rPr>
                <w:rFonts w:hint="eastAsia"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关于佛山康立泰数码科技有限公司江西分公司年产6万吨陶瓷原料生产建设项目环境影响报告表的批复</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000000" w:themeColor="text1"/>
                <w:lang w:val="en-US" w:eastAsia="zh-CN"/>
                <w14:textFill>
                  <w14:solidFill>
                    <w14:schemeClr w14:val="tx1"/>
                  </w14:solidFill>
                </w14:textFill>
              </w:rPr>
              <w:t>（20</w:t>
            </w:r>
            <w:r>
              <w:rPr>
                <w:rFonts w:hint="eastAsia" w:ascii="Times New Roman" w:hAnsi="Times New Roman" w:cs="Times New Roman"/>
                <w:color w:val="000000" w:themeColor="text1"/>
                <w:lang w:val="en-US" w:eastAsia="zh-CN"/>
                <w14:textFill>
                  <w14:solidFill>
                    <w14:schemeClr w14:val="tx1"/>
                  </w14:solidFill>
                </w14:textFill>
              </w:rPr>
              <w:t>25</w:t>
            </w:r>
            <w:r>
              <w:rPr>
                <w:rFonts w:hint="eastAsia" w:ascii="Times New Roman" w:hAnsi="Times New Roman" w:eastAsia="宋体" w:cs="Times New Roman"/>
                <w:color w:val="000000" w:themeColor="text1"/>
                <w:lang w:val="en-US" w:eastAsia="zh-CN"/>
                <w14:textFill>
                  <w14:solidFill>
                    <w14:schemeClr w14:val="tx1"/>
                  </w14:solidFill>
                </w14:textFill>
              </w:rPr>
              <w:t>年</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eastAsia="宋体" w:cs="Times New Roman"/>
                <w:color w:val="000000" w:themeColor="text1"/>
                <w:lang w:val="en-US" w:eastAsia="zh-CN"/>
                <w14:textFill>
                  <w14:solidFill>
                    <w14:schemeClr w14:val="tx1"/>
                  </w14:solidFill>
                </w14:textFill>
              </w:rPr>
              <w:t>月</w:t>
            </w:r>
            <w:r>
              <w:rPr>
                <w:rFonts w:hint="eastAsia" w:ascii="Times New Roman" w:hAnsi="Times New Roman" w:cs="Times New Roman"/>
                <w:color w:val="000000" w:themeColor="text1"/>
                <w:lang w:val="en-US" w:eastAsia="zh-CN"/>
                <w14:textFill>
                  <w14:solidFill>
                    <w14:schemeClr w14:val="tx1"/>
                  </w14:solidFill>
                </w14:textFill>
              </w:rPr>
              <w:t>31日</w:t>
            </w:r>
            <w:r>
              <w:rPr>
                <w:rFonts w:hint="eastAsia" w:ascii="Times New Roman" w:hAnsi="Times New Roman" w:eastAsia="宋体" w:cs="Times New Roman"/>
                <w:color w:val="000000" w:themeColor="text1"/>
                <w:lang w:val="en-US" w:eastAsia="zh-CN"/>
                <w14:textFill>
                  <w14:solidFill>
                    <w14:schemeClr w14:val="tx1"/>
                  </w14:solidFill>
                </w14:textFill>
              </w:rPr>
              <w:t>）</w:t>
            </w:r>
          </w:p>
          <w:p w14:paraId="45A6B986">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ascii="Times New Roman" w:hAnsi="Times New Roman" w:eastAsia="宋体" w:cs="Times New Roman"/>
                <w:color w:val="auto"/>
                <w:lang w:val="en-US" w:eastAsia="zh-CN"/>
              </w:rPr>
            </w:pPr>
          </w:p>
          <w:p w14:paraId="49F116A1">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ascii="Times New Roman" w:hAnsi="Times New Roman" w:eastAsia="宋体" w:cs="Times New Roman"/>
                <w:color w:val="auto"/>
                <w:lang w:val="en-US" w:eastAsia="zh-CN"/>
              </w:rPr>
            </w:pPr>
          </w:p>
          <w:p w14:paraId="4C86CDF8">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lang w:val="en-US" w:eastAsia="zh-CN"/>
              </w:rPr>
            </w:pPr>
          </w:p>
        </w:tc>
      </w:tr>
      <w:tr w14:paraId="11953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369" w:hRule="atLeast"/>
          <w:jc w:val="center"/>
        </w:trPr>
        <w:tc>
          <w:tcPr>
            <w:tcW w:w="1498" w:type="dxa"/>
            <w:noWrap w:val="0"/>
            <w:vAlign w:val="center"/>
          </w:tcPr>
          <w:p w14:paraId="58AC33B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pPr>
          </w:p>
          <w:p w14:paraId="364659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25A4BB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76F349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4054EF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33EC89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21A8E0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717149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620AB0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291909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423B6F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049B0D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6C696F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0C2243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039A4D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68CEDF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316390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209BCA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080323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7E04A9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168FC2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p w14:paraId="0759B7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t>验收监测评价标准、标号、级别、限值</w:t>
            </w:r>
          </w:p>
          <w:p w14:paraId="4988A9F3">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5DD47B97">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2533946D">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6ACE977D">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2A7E231C">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7442A05B">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46F75224">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48563583">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55F52F1A">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268AB37E">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p w14:paraId="72C7D0E4">
            <w:pPr>
              <w:pStyle w:val="9"/>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olor w:val="000000"/>
                <w:sz w:val="21"/>
                <w:szCs w:val="21"/>
              </w:rPr>
            </w:pPr>
          </w:p>
        </w:tc>
        <w:tc>
          <w:tcPr>
            <w:tcW w:w="7146" w:type="dxa"/>
            <w:gridSpan w:val="5"/>
            <w:tcBorders>
              <w:bottom w:val="single" w:color="000000" w:sz="12" w:space="0"/>
            </w:tcBorders>
            <w:noWrap w:val="0"/>
            <w:vAlign w:val="top"/>
          </w:tcPr>
          <w:p w14:paraId="070D903E">
            <w:pPr>
              <w:spacing w:line="360" w:lineRule="auto"/>
              <w:jc w:val="both"/>
              <w:outlineLvl w:val="2"/>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bookmarkStart w:id="4" w:name="_Toc20320"/>
            <w:r>
              <w:rPr>
                <w:rFonts w:hint="eastAsia" w:ascii="Times New Roman" w:hAnsi="Times New Roman" w:cs="Times New Roman"/>
                <w:b w:val="0"/>
                <w:bCs/>
                <w:color w:val="auto"/>
                <w:sz w:val="24"/>
                <w:szCs w:val="24"/>
                <w:lang w:val="en-US" w:eastAsia="zh-CN"/>
              </w:rPr>
              <w:t>1.</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废气</w:t>
            </w:r>
            <w:bookmarkEnd w:id="4"/>
          </w:p>
          <w:p w14:paraId="706581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2"/>
              <w:rPr>
                <w:rFonts w:hint="default" w:ascii="Times New Roman" w:hAnsi="Times New Roman" w:eastAsia="宋体" w:cs="Times New Roman"/>
                <w:color w:val="FF0000"/>
                <w:sz w:val="24"/>
                <w:szCs w:val="21"/>
              </w:rPr>
            </w:pPr>
            <w:bookmarkStart w:id="5" w:name="_Toc4808"/>
            <w:r>
              <w:rPr>
                <w:rFonts w:hint="default" w:ascii="Times New Roman" w:hAnsi="Times New Roman" w:eastAsia="宋体" w:cs="Times New Roman"/>
                <w:color w:val="000000" w:themeColor="text1"/>
                <w:sz w:val="24"/>
                <w:szCs w:val="21"/>
                <w14:textFill>
                  <w14:solidFill>
                    <w14:schemeClr w14:val="tx1"/>
                  </w14:solidFill>
                </w14:textFill>
              </w:rPr>
              <w:t>项目</w:t>
            </w:r>
            <w:r>
              <w:rPr>
                <w:rFonts w:hint="eastAsia" w:ascii="Times New Roman" w:hAnsi="Times New Roman" w:cs="Times New Roman"/>
                <w:color w:val="000000" w:themeColor="text1"/>
                <w:sz w:val="24"/>
                <w:szCs w:val="21"/>
                <w:lang w:val="en-US" w:eastAsia="zh-CN"/>
                <w14:textFill>
                  <w14:solidFill>
                    <w14:schemeClr w14:val="tx1"/>
                  </w14:solidFill>
                </w14:textFill>
              </w:rPr>
              <w:t>废气排放执行《大气污染物综合排放标准》（GB 16297-1996）表2二级标准及无组织排放监控浓度限值</w:t>
            </w:r>
            <w:r>
              <w:rPr>
                <w:rFonts w:hint="default" w:ascii="Times New Roman" w:hAnsi="Times New Roman" w:eastAsia="宋体" w:cs="Times New Roman"/>
                <w:color w:val="000000" w:themeColor="text1"/>
                <w:sz w:val="24"/>
                <w:szCs w:val="21"/>
                <w14:textFill>
                  <w14:solidFill>
                    <w14:schemeClr w14:val="tx1"/>
                  </w14:solidFill>
                </w14:textFill>
              </w:rPr>
              <w:t>。</w:t>
            </w:r>
            <w:bookmarkEnd w:id="5"/>
          </w:p>
          <w:p w14:paraId="6C4666B2">
            <w:pPr>
              <w:pStyle w:val="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FF0000"/>
                <w:szCs w:val="21"/>
                <w:lang w:bidi="ar"/>
              </w:rPr>
            </w:pPr>
            <w:r>
              <w:rPr>
                <w:rFonts w:hint="default" w:ascii="Times New Roman" w:hAnsi="Times New Roman" w:cs="Times New Roman"/>
                <w:b/>
                <w:bCs/>
                <w:sz w:val="21"/>
                <w:szCs w:val="21"/>
                <w:lang w:val="en-US" w:eastAsia="zh-CN"/>
              </w:rPr>
              <w:t>表1-1</w:t>
            </w:r>
            <w:r>
              <w:rPr>
                <w:rFonts w:hint="eastAsia"/>
                <w:b/>
                <w:bCs/>
                <w:sz w:val="21"/>
                <w:szCs w:val="21"/>
                <w:lang w:val="en-US" w:eastAsia="zh-CN"/>
              </w:rPr>
              <w:t xml:space="preserve"> 废气排放标准</w:t>
            </w:r>
          </w:p>
          <w:tbl>
            <w:tblPr>
              <w:tblStyle w:val="24"/>
              <w:tblW w:w="69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952"/>
              <w:gridCol w:w="1198"/>
              <w:gridCol w:w="1132"/>
              <w:gridCol w:w="1232"/>
              <w:gridCol w:w="999"/>
              <w:gridCol w:w="1425"/>
            </w:tblGrid>
            <w:tr w14:paraId="0BB59F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7" w:hRule="atLeast"/>
                <w:jc w:val="center"/>
              </w:trPr>
              <w:tc>
                <w:tcPr>
                  <w:tcW w:w="952" w:type="dxa"/>
                  <w:vMerge w:val="restart"/>
                  <w:noWrap w:val="0"/>
                  <w:vAlign w:val="center"/>
                </w:tcPr>
                <w:p w14:paraId="2B94710F">
                  <w:pPr>
                    <w:adjustRightInd w:val="0"/>
                    <w:snapToGrid w:val="0"/>
                    <w:jc w:val="center"/>
                    <w:rPr>
                      <w:rFonts w:ascii="Times New Roman" w:hAnsi="Times New Roman" w:eastAsia="宋体" w:cs="Times New Roman"/>
                      <w:b/>
                      <w:color w:val="auto"/>
                      <w:szCs w:val="21"/>
                    </w:rPr>
                  </w:pPr>
                  <w:bookmarkStart w:id="6" w:name="_Toc3579"/>
                  <w:r>
                    <w:rPr>
                      <w:rFonts w:ascii="Times New Roman" w:hAnsi="Times New Roman" w:eastAsia="宋体" w:cs="Times New Roman"/>
                      <w:b/>
                      <w:color w:val="auto"/>
                      <w:szCs w:val="21"/>
                    </w:rPr>
                    <w:t>污染物</w:t>
                  </w:r>
                </w:p>
                <w:p w14:paraId="42B6CF55">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名称</w:t>
                  </w:r>
                </w:p>
              </w:tc>
              <w:tc>
                <w:tcPr>
                  <w:tcW w:w="1198" w:type="dxa"/>
                  <w:vMerge w:val="restart"/>
                  <w:noWrap w:val="0"/>
                  <w:vAlign w:val="center"/>
                </w:tcPr>
                <w:p w14:paraId="13C7219B">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最高允许排放浓度（mg/m</w:t>
                  </w:r>
                  <w:r>
                    <w:rPr>
                      <w:rFonts w:ascii="Times New Roman" w:hAnsi="Times New Roman" w:eastAsia="宋体" w:cs="Times New Roman"/>
                      <w:b/>
                      <w:color w:val="auto"/>
                      <w:szCs w:val="21"/>
                      <w:vertAlign w:val="superscript"/>
                    </w:rPr>
                    <w:t>3</w:t>
                  </w:r>
                  <w:r>
                    <w:rPr>
                      <w:rFonts w:ascii="Times New Roman" w:hAnsi="Times New Roman" w:eastAsia="宋体" w:cs="Times New Roman"/>
                      <w:b/>
                      <w:color w:val="auto"/>
                      <w:szCs w:val="21"/>
                    </w:rPr>
                    <w:t>）</w:t>
                  </w:r>
                </w:p>
              </w:tc>
              <w:tc>
                <w:tcPr>
                  <w:tcW w:w="2364" w:type="dxa"/>
                  <w:gridSpan w:val="2"/>
                  <w:noWrap w:val="0"/>
                  <w:vAlign w:val="center"/>
                </w:tcPr>
                <w:p w14:paraId="3031492F">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最高允许排放速率（kg/h）</w:t>
                  </w:r>
                </w:p>
              </w:tc>
              <w:tc>
                <w:tcPr>
                  <w:tcW w:w="2424" w:type="dxa"/>
                  <w:gridSpan w:val="2"/>
                  <w:noWrap w:val="0"/>
                  <w:vAlign w:val="center"/>
                </w:tcPr>
                <w:p w14:paraId="79A0FAF7">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无组织排放监控浓度值</w:t>
                  </w:r>
                </w:p>
              </w:tc>
            </w:tr>
            <w:tr w14:paraId="54CF9E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5" w:hRule="atLeast"/>
                <w:jc w:val="center"/>
              </w:trPr>
              <w:tc>
                <w:tcPr>
                  <w:tcW w:w="952" w:type="dxa"/>
                  <w:vMerge w:val="continue"/>
                  <w:noWrap w:val="0"/>
                  <w:vAlign w:val="center"/>
                </w:tcPr>
                <w:p w14:paraId="79B94E03">
                  <w:pPr>
                    <w:adjustRightInd w:val="0"/>
                    <w:snapToGrid w:val="0"/>
                    <w:jc w:val="center"/>
                    <w:rPr>
                      <w:rFonts w:ascii="Times New Roman" w:hAnsi="Times New Roman" w:eastAsia="宋体" w:cs="Times New Roman"/>
                      <w:bCs/>
                      <w:color w:val="auto"/>
                      <w:szCs w:val="21"/>
                    </w:rPr>
                  </w:pPr>
                </w:p>
              </w:tc>
              <w:tc>
                <w:tcPr>
                  <w:tcW w:w="1198" w:type="dxa"/>
                  <w:vMerge w:val="continue"/>
                  <w:noWrap w:val="0"/>
                  <w:vAlign w:val="center"/>
                </w:tcPr>
                <w:p w14:paraId="55C7D15A">
                  <w:pPr>
                    <w:adjustRightInd w:val="0"/>
                    <w:snapToGrid w:val="0"/>
                    <w:jc w:val="center"/>
                    <w:rPr>
                      <w:rFonts w:ascii="Times New Roman" w:hAnsi="Times New Roman" w:eastAsia="宋体" w:cs="Times New Roman"/>
                      <w:bCs/>
                      <w:color w:val="auto"/>
                      <w:szCs w:val="21"/>
                    </w:rPr>
                  </w:pPr>
                </w:p>
              </w:tc>
              <w:tc>
                <w:tcPr>
                  <w:tcW w:w="1132" w:type="dxa"/>
                  <w:noWrap w:val="0"/>
                  <w:vAlign w:val="center"/>
                </w:tcPr>
                <w:p w14:paraId="0AF6651F">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排气筒高度（m）</w:t>
                  </w:r>
                </w:p>
              </w:tc>
              <w:tc>
                <w:tcPr>
                  <w:tcW w:w="1232" w:type="dxa"/>
                  <w:noWrap w:val="0"/>
                  <w:vAlign w:val="center"/>
                </w:tcPr>
                <w:p w14:paraId="394EF02A">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二级</w:t>
                  </w:r>
                </w:p>
              </w:tc>
              <w:tc>
                <w:tcPr>
                  <w:tcW w:w="999" w:type="dxa"/>
                  <w:noWrap w:val="0"/>
                  <w:vAlign w:val="center"/>
                </w:tcPr>
                <w:p w14:paraId="0874F4A9">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监控点</w:t>
                  </w:r>
                </w:p>
              </w:tc>
              <w:tc>
                <w:tcPr>
                  <w:tcW w:w="1425" w:type="dxa"/>
                  <w:noWrap w:val="0"/>
                  <w:vAlign w:val="center"/>
                </w:tcPr>
                <w:p w14:paraId="3DF7CA1A">
                  <w:pPr>
                    <w:adjustRightInd w:val="0"/>
                    <w:snapToGrid w:val="0"/>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浓度（mg/m</w:t>
                  </w:r>
                  <w:r>
                    <w:rPr>
                      <w:rFonts w:ascii="Times New Roman" w:hAnsi="Times New Roman" w:eastAsia="宋体" w:cs="Times New Roman"/>
                      <w:b/>
                      <w:color w:val="auto"/>
                      <w:szCs w:val="21"/>
                      <w:vertAlign w:val="superscript"/>
                    </w:rPr>
                    <w:t>3</w:t>
                  </w:r>
                  <w:r>
                    <w:rPr>
                      <w:rFonts w:ascii="Times New Roman" w:hAnsi="Times New Roman" w:eastAsia="宋体" w:cs="Times New Roman"/>
                      <w:b/>
                      <w:color w:val="auto"/>
                      <w:szCs w:val="21"/>
                    </w:rPr>
                    <w:t>）</w:t>
                  </w:r>
                </w:p>
              </w:tc>
            </w:tr>
            <w:tr w14:paraId="23C83A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1" w:hRule="atLeast"/>
                <w:jc w:val="center"/>
              </w:trPr>
              <w:tc>
                <w:tcPr>
                  <w:tcW w:w="952" w:type="dxa"/>
                  <w:noWrap w:val="0"/>
                  <w:vAlign w:val="center"/>
                </w:tcPr>
                <w:p w14:paraId="2BD24BB3">
                  <w:pPr>
                    <w:adjustRightInd w:val="0"/>
                    <w:snapToGrid w:val="0"/>
                    <w:jc w:val="center"/>
                    <w:rPr>
                      <w:rFonts w:ascii="Times New Roman" w:hAnsi="Times New Roman" w:eastAsia="宋体" w:cs="Times New Roman"/>
                      <w:bCs/>
                      <w:color w:val="auto"/>
                      <w:szCs w:val="21"/>
                    </w:rPr>
                  </w:pPr>
                  <w:r>
                    <w:rPr>
                      <w:rFonts w:ascii="Times New Roman" w:hAnsi="Times New Roman" w:eastAsia="宋体" w:cs="Times New Roman"/>
                      <w:color w:val="auto"/>
                      <w:szCs w:val="21"/>
                    </w:rPr>
                    <w:t>颗粒物</w:t>
                  </w:r>
                </w:p>
              </w:tc>
              <w:tc>
                <w:tcPr>
                  <w:tcW w:w="1198" w:type="dxa"/>
                  <w:noWrap w:val="0"/>
                  <w:vAlign w:val="center"/>
                </w:tcPr>
                <w:p w14:paraId="248D9251">
                  <w:pPr>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szCs w:val="21"/>
                      <w:lang w:val="en-US" w:eastAsia="zh-CN"/>
                    </w:rPr>
                    <w:t>120</w:t>
                  </w:r>
                </w:p>
              </w:tc>
              <w:tc>
                <w:tcPr>
                  <w:tcW w:w="1132" w:type="dxa"/>
                  <w:noWrap w:val="0"/>
                  <w:vAlign w:val="center"/>
                </w:tcPr>
                <w:p w14:paraId="4D0C57A2">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Cs/>
                      <w:color w:val="auto"/>
                      <w:szCs w:val="21"/>
                      <w:lang w:val="en-US" w:eastAsia="zh-CN"/>
                    </w:rPr>
                    <w:t>15</w:t>
                  </w:r>
                </w:p>
              </w:tc>
              <w:tc>
                <w:tcPr>
                  <w:tcW w:w="1232" w:type="dxa"/>
                  <w:noWrap w:val="0"/>
                  <w:vAlign w:val="center"/>
                </w:tcPr>
                <w:p w14:paraId="1133E2F2">
                  <w:pPr>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szCs w:val="21"/>
                      <w:lang w:val="en-US" w:eastAsia="zh-CN"/>
                    </w:rPr>
                    <w:t>3.5</w:t>
                  </w:r>
                </w:p>
              </w:tc>
              <w:tc>
                <w:tcPr>
                  <w:tcW w:w="999" w:type="dxa"/>
                  <w:noWrap w:val="0"/>
                  <w:vAlign w:val="center"/>
                </w:tcPr>
                <w:p w14:paraId="444A173E">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周界外浓度最高点</w:t>
                  </w:r>
                </w:p>
              </w:tc>
              <w:tc>
                <w:tcPr>
                  <w:tcW w:w="1425" w:type="dxa"/>
                  <w:noWrap w:val="0"/>
                  <w:vAlign w:val="center"/>
                </w:tcPr>
                <w:p w14:paraId="749EDB39">
                  <w:pPr>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szCs w:val="21"/>
                      <w:lang w:val="en-US" w:eastAsia="zh-CN"/>
                    </w:rPr>
                    <w:t>1.0</w:t>
                  </w:r>
                </w:p>
              </w:tc>
            </w:tr>
          </w:tbl>
          <w:p w14:paraId="57907B4F">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eastAsia" w:ascii="Times New Roman" w:hAnsi="Times New Roman" w:cs="Times New Roman"/>
                <w:b w:val="0"/>
                <w:bCs/>
                <w:color w:val="auto"/>
                <w:sz w:val="24"/>
                <w:szCs w:val="24"/>
                <w:lang w:val="en-US" w:eastAsia="zh-CN"/>
              </w:rPr>
              <w:t>2.</w:t>
            </w:r>
            <w:r>
              <w:rPr>
                <w:rFonts w:hint="default" w:ascii="Times New Roman" w:hAnsi="Times New Roman" w:eastAsia="宋体" w:cs="Times New Roman"/>
                <w:b w:val="0"/>
                <w:bCs/>
                <w:color w:val="auto"/>
                <w:sz w:val="24"/>
                <w:szCs w:val="24"/>
                <w:lang w:val="en-US" w:eastAsia="zh-CN"/>
              </w:rPr>
              <w:t>废水</w:t>
            </w:r>
            <w:bookmarkEnd w:id="6"/>
          </w:p>
          <w:p w14:paraId="1C861BDA">
            <w:pPr>
              <w:spacing w:line="360" w:lineRule="auto"/>
              <w:ind w:firstLine="480" w:firstLineChars="200"/>
              <w:jc w:val="left"/>
              <w:rPr>
                <w:rFonts w:hint="default" w:ascii="Times New Roman" w:hAnsi="Times New Roman" w:eastAsia="宋体" w:cs="Times New Roman"/>
                <w:color w:val="000000" w:themeColor="text1"/>
                <w:sz w:val="24"/>
                <w:szCs w:val="21"/>
                <w14:textFill>
                  <w14:solidFill>
                    <w14:schemeClr w14:val="tx1"/>
                  </w14:solidFill>
                </w14:textFill>
              </w:rPr>
            </w:pPr>
            <w:r>
              <w:rPr>
                <w:rFonts w:hint="eastAsia" w:ascii="Times New Roman" w:hAnsi="Times New Roman" w:cs="Times New Roman"/>
                <w:color w:val="000000" w:themeColor="text1"/>
                <w:sz w:val="24"/>
                <w:szCs w:val="21"/>
                <w:lang w:eastAsia="zh-CN"/>
                <w14:textFill>
                  <w14:solidFill>
                    <w14:schemeClr w14:val="tx1"/>
                  </w14:solidFill>
                </w14:textFill>
              </w:rPr>
              <w:t>项目</w:t>
            </w:r>
            <w:r>
              <w:rPr>
                <w:rFonts w:hint="eastAsia" w:ascii="Times New Roman" w:hAnsi="Times New Roman" w:cs="Times New Roman"/>
                <w:color w:val="000000" w:themeColor="text1"/>
                <w:sz w:val="24"/>
                <w:szCs w:val="21"/>
                <w:lang w:val="en-US" w:eastAsia="zh-CN"/>
                <w14:textFill>
                  <w14:solidFill>
                    <w14:schemeClr w14:val="tx1"/>
                  </w14:solidFill>
                </w14:textFill>
              </w:rPr>
              <w:t>检测废水经沉淀处理后用于洒水降尘；生活污水经化粪池处理后定期清掏用于农田施肥</w:t>
            </w:r>
            <w:r>
              <w:rPr>
                <w:rFonts w:hint="default" w:ascii="Times New Roman" w:hAnsi="Times New Roman" w:eastAsia="宋体" w:cs="Times New Roman"/>
                <w:color w:val="000000" w:themeColor="text1"/>
                <w:sz w:val="24"/>
                <w:szCs w:val="21"/>
                <w14:textFill>
                  <w14:solidFill>
                    <w14:schemeClr w14:val="tx1"/>
                  </w14:solidFill>
                </w14:textFill>
              </w:rPr>
              <w:t>。</w:t>
            </w:r>
          </w:p>
          <w:p w14:paraId="4B76B457">
            <w:pPr>
              <w:spacing w:line="360" w:lineRule="auto"/>
              <w:jc w:val="left"/>
              <w:outlineLvl w:val="2"/>
              <w:rPr>
                <w:rFonts w:hint="default" w:ascii="Times New Roman" w:hAnsi="Times New Roman" w:eastAsia="宋体" w:cs="Times New Roman"/>
                <w:b w:val="0"/>
                <w:bCs/>
                <w:color w:val="auto"/>
                <w:sz w:val="24"/>
                <w:szCs w:val="24"/>
                <w:lang w:val="en-US" w:eastAsia="zh-CN"/>
              </w:rPr>
            </w:pPr>
            <w:bookmarkStart w:id="7" w:name="_Toc3665"/>
            <w:r>
              <w:rPr>
                <w:rFonts w:hint="eastAsia" w:ascii="Times New Roman" w:hAnsi="Times New Roman" w:cs="Times New Roman"/>
                <w:b w:val="0"/>
                <w:bCs/>
                <w:color w:val="auto"/>
                <w:sz w:val="24"/>
                <w:szCs w:val="24"/>
                <w:lang w:val="en-US" w:eastAsia="zh-CN"/>
              </w:rPr>
              <w:t>3.</w:t>
            </w:r>
            <w:r>
              <w:rPr>
                <w:rFonts w:hint="default" w:ascii="Times New Roman" w:hAnsi="Times New Roman" w:eastAsia="宋体" w:cs="Times New Roman"/>
                <w:b w:val="0"/>
                <w:bCs/>
                <w:color w:val="auto"/>
                <w:sz w:val="24"/>
                <w:szCs w:val="24"/>
                <w:lang w:val="en-US" w:eastAsia="zh-CN"/>
              </w:rPr>
              <w:t>噪声</w:t>
            </w:r>
            <w:bookmarkEnd w:id="7"/>
          </w:p>
          <w:p w14:paraId="0DCD4BB7">
            <w:pPr>
              <w:spacing w:line="360" w:lineRule="auto"/>
              <w:ind w:firstLine="480" w:firstLineChars="200"/>
              <w:jc w:val="both"/>
              <w:rPr>
                <w:rFonts w:hint="default" w:ascii="Times New Roman" w:hAnsi="Times New Roman" w:eastAsia="宋体" w:cs="Times New Roman"/>
                <w:b/>
                <w:bCs/>
                <w:color w:val="auto"/>
                <w:szCs w:val="21"/>
                <w:lang w:bidi="ar"/>
              </w:rPr>
            </w:pPr>
            <w:r>
              <w:rPr>
                <w:rFonts w:hint="eastAsia" w:ascii="Times New Roman" w:hAnsi="Times New Roman" w:eastAsia="宋体" w:cs="Times New Roman"/>
                <w:color w:val="auto"/>
                <w:sz w:val="24"/>
                <w:szCs w:val="24"/>
                <w:lang w:eastAsia="zh-CN"/>
              </w:rPr>
              <w:t>项目</w:t>
            </w:r>
            <w:r>
              <w:rPr>
                <w:rFonts w:hint="eastAsia" w:ascii="Times New Roman" w:hAnsi="Times New Roman" w:eastAsia="宋体" w:cs="Times New Roman"/>
                <w:color w:val="auto"/>
                <w:sz w:val="24"/>
                <w:szCs w:val="24"/>
                <w:lang w:val="en-US" w:eastAsia="zh-CN"/>
              </w:rPr>
              <w:t>厂界</w:t>
            </w:r>
            <w:r>
              <w:rPr>
                <w:rFonts w:hint="eastAsia" w:ascii="Times New Roman" w:hAnsi="Times New Roman" w:eastAsia="宋体" w:cs="Times New Roman"/>
                <w:color w:val="auto"/>
                <w:sz w:val="24"/>
                <w:szCs w:val="24"/>
                <w:lang w:eastAsia="zh-CN"/>
              </w:rPr>
              <w:t>噪声</w:t>
            </w:r>
            <w:r>
              <w:rPr>
                <w:rFonts w:hint="default" w:ascii="Times New Roman" w:hAnsi="Times New Roman" w:eastAsia="宋体" w:cs="Times New Roman"/>
                <w:color w:val="auto"/>
                <w:sz w:val="24"/>
                <w:szCs w:val="24"/>
              </w:rPr>
              <w:t>执行《工业企业厂界环境噪声排放标准》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GB12348-2008</w:t>
            </w:r>
            <w:r>
              <w:rPr>
                <w:rFonts w:hint="default" w:ascii="Times New Roman" w:hAnsi="Times New Roman" w:eastAsia="宋体" w:cs="Times New Roman"/>
                <w:color w:val="auto"/>
                <w:sz w:val="24"/>
                <w:szCs w:val="24"/>
                <w:lang w:eastAsia="zh-CN"/>
              </w:rPr>
              <w:t>）中的</w:t>
            </w:r>
            <w:r>
              <w:rPr>
                <w:rFonts w:hint="eastAsia"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rPr>
              <w:t>类标准，具体标准见</w:t>
            </w:r>
            <w:r>
              <w:rPr>
                <w:rFonts w:hint="default" w:ascii="Times New Roman" w:hAnsi="Times New Roman" w:eastAsia="宋体" w:cs="Times New Roman"/>
                <w:color w:val="auto"/>
                <w:sz w:val="24"/>
                <w:szCs w:val="24"/>
                <w:lang w:eastAsia="zh-CN"/>
              </w:rPr>
              <w:t>下</w:t>
            </w:r>
            <w:r>
              <w:rPr>
                <w:rFonts w:hint="default" w:ascii="Times New Roman" w:hAnsi="Times New Roman" w:eastAsia="宋体" w:cs="Times New Roman"/>
                <w:color w:val="auto"/>
                <w:sz w:val="24"/>
                <w:szCs w:val="24"/>
              </w:rPr>
              <w:t>表。</w:t>
            </w:r>
          </w:p>
          <w:p w14:paraId="7A597A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Cs w:val="21"/>
                <w:lang w:bidi="ar"/>
              </w:rPr>
            </w:pPr>
            <w:r>
              <w:rPr>
                <w:rFonts w:hint="default" w:ascii="Times New Roman" w:hAnsi="Times New Roman" w:eastAsia="宋体" w:cs="Times New Roman"/>
                <w:b/>
                <w:bCs/>
                <w:color w:val="auto"/>
                <w:szCs w:val="21"/>
                <w:lang w:bidi="ar"/>
              </w:rPr>
              <w:t>表1-</w:t>
            </w:r>
            <w:r>
              <w:rPr>
                <w:rFonts w:hint="eastAsia" w:ascii="Times New Roman" w:hAnsi="Times New Roman" w:cs="Times New Roman"/>
                <w:b/>
                <w:bCs/>
                <w:color w:val="auto"/>
                <w:szCs w:val="21"/>
                <w:lang w:val="en-US" w:eastAsia="zh-CN" w:bidi="ar"/>
              </w:rPr>
              <w:t xml:space="preserve">2 </w:t>
            </w:r>
            <w:r>
              <w:rPr>
                <w:rFonts w:hint="default" w:ascii="Times New Roman" w:hAnsi="Times New Roman" w:eastAsia="宋体" w:cs="Times New Roman"/>
                <w:b/>
                <w:bCs/>
                <w:color w:val="auto"/>
                <w:szCs w:val="21"/>
                <w:lang w:bidi="ar"/>
              </w:rPr>
              <w:t xml:space="preserve">厂界噪声执行标准限值一览表  </w:t>
            </w:r>
            <w:r>
              <w:rPr>
                <w:rFonts w:hint="default" w:ascii="Times New Roman" w:hAnsi="Times New Roman" w:eastAsia="宋体" w:cs="Times New Roman"/>
                <w:b/>
                <w:bCs/>
                <w:color w:val="auto"/>
                <w:szCs w:val="21"/>
              </w:rPr>
              <w:t>单位：dB(A)</w:t>
            </w:r>
          </w:p>
          <w:tbl>
            <w:tblPr>
              <w:tblStyle w:val="24"/>
              <w:tblW w:w="693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75"/>
              <w:gridCol w:w="867"/>
              <w:gridCol w:w="1543"/>
              <w:gridCol w:w="1547"/>
            </w:tblGrid>
            <w:tr w14:paraId="745AA3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75" w:type="dxa"/>
                  <w:tcBorders>
                    <w:tl2br w:val="nil"/>
                    <w:tr2bl w:val="nil"/>
                  </w:tcBorders>
                  <w:noWrap w:val="0"/>
                  <w:vAlign w:val="center"/>
                </w:tcPr>
                <w:p w14:paraId="726AD9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标准号</w:t>
                  </w:r>
                </w:p>
              </w:tc>
              <w:tc>
                <w:tcPr>
                  <w:tcW w:w="867" w:type="dxa"/>
                  <w:tcBorders>
                    <w:tl2br w:val="nil"/>
                    <w:tr2bl w:val="nil"/>
                  </w:tcBorders>
                  <w:noWrap w:val="0"/>
                  <w:vAlign w:val="center"/>
                </w:tcPr>
                <w:p w14:paraId="16E955D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类别</w:t>
                  </w:r>
                </w:p>
              </w:tc>
              <w:tc>
                <w:tcPr>
                  <w:tcW w:w="1543" w:type="dxa"/>
                  <w:tcBorders>
                    <w:tl2br w:val="nil"/>
                    <w:tr2bl w:val="nil"/>
                  </w:tcBorders>
                  <w:noWrap w:val="0"/>
                  <w:vAlign w:val="center"/>
                </w:tcPr>
                <w:p w14:paraId="456E0F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昼间</w:t>
                  </w:r>
                </w:p>
              </w:tc>
              <w:tc>
                <w:tcPr>
                  <w:tcW w:w="1547" w:type="dxa"/>
                  <w:tcBorders>
                    <w:tl2br w:val="nil"/>
                    <w:tr2bl w:val="nil"/>
                  </w:tcBorders>
                  <w:noWrap w:val="0"/>
                  <w:vAlign w:val="center"/>
                </w:tcPr>
                <w:p w14:paraId="358D1A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夜间</w:t>
                  </w:r>
                </w:p>
              </w:tc>
            </w:tr>
            <w:tr w14:paraId="5ABDE3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75" w:type="dxa"/>
                  <w:tcBorders>
                    <w:tl2br w:val="nil"/>
                    <w:tr2bl w:val="nil"/>
                  </w:tcBorders>
                  <w:noWrap w:val="0"/>
                  <w:vAlign w:val="center"/>
                </w:tcPr>
                <w:p w14:paraId="1B2794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GB12348-2008</w:t>
                  </w:r>
                </w:p>
              </w:tc>
              <w:tc>
                <w:tcPr>
                  <w:tcW w:w="867" w:type="dxa"/>
                  <w:tcBorders>
                    <w:tl2br w:val="nil"/>
                    <w:tr2bl w:val="nil"/>
                  </w:tcBorders>
                  <w:noWrap w:val="0"/>
                  <w:vAlign w:val="center"/>
                </w:tcPr>
                <w:p w14:paraId="3DFA7B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1543" w:type="dxa"/>
                  <w:tcBorders>
                    <w:tl2br w:val="nil"/>
                    <w:tr2bl w:val="nil"/>
                  </w:tcBorders>
                  <w:noWrap w:val="0"/>
                  <w:vAlign w:val="center"/>
                </w:tcPr>
                <w:p w14:paraId="4FEA99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60</w:t>
                  </w:r>
                </w:p>
              </w:tc>
              <w:tc>
                <w:tcPr>
                  <w:tcW w:w="1547" w:type="dxa"/>
                  <w:tcBorders>
                    <w:tl2br w:val="nil"/>
                    <w:tr2bl w:val="nil"/>
                  </w:tcBorders>
                  <w:noWrap w:val="0"/>
                  <w:vAlign w:val="center"/>
                </w:tcPr>
                <w:p w14:paraId="5284575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r>
          </w:tbl>
          <w:p w14:paraId="4770D01C">
            <w:pPr>
              <w:spacing w:line="360" w:lineRule="auto"/>
              <w:jc w:val="left"/>
              <w:outlineLvl w:val="2"/>
              <w:rPr>
                <w:rFonts w:hint="default" w:ascii="Times New Roman" w:hAnsi="Times New Roman" w:eastAsia="宋体" w:cs="Times New Roman"/>
                <w:b w:val="0"/>
                <w:bCs/>
                <w:color w:val="auto"/>
                <w:sz w:val="24"/>
                <w:szCs w:val="24"/>
                <w:lang w:val="en-US" w:eastAsia="zh-CN"/>
              </w:rPr>
            </w:pPr>
            <w:bookmarkStart w:id="8" w:name="_Toc12528"/>
            <w:r>
              <w:rPr>
                <w:rFonts w:hint="eastAsia" w:ascii="Times New Roman" w:hAnsi="Times New Roman" w:cs="Times New Roman"/>
                <w:b w:val="0"/>
                <w:bCs/>
                <w:color w:val="auto"/>
                <w:sz w:val="24"/>
                <w:szCs w:val="24"/>
                <w:lang w:val="en-US" w:eastAsia="zh-CN"/>
              </w:rPr>
              <w:t>4.</w:t>
            </w:r>
            <w:r>
              <w:rPr>
                <w:rFonts w:hint="default" w:ascii="Times New Roman" w:hAnsi="Times New Roman" w:eastAsia="宋体" w:cs="Times New Roman"/>
                <w:b w:val="0"/>
                <w:bCs/>
                <w:color w:val="auto"/>
                <w:sz w:val="24"/>
                <w:szCs w:val="24"/>
                <w:lang w:val="en-US" w:eastAsia="zh-CN"/>
              </w:rPr>
              <w:t>固废</w:t>
            </w:r>
            <w:bookmarkEnd w:id="8"/>
          </w:p>
          <w:p w14:paraId="4BB2CB0F">
            <w:pPr>
              <w:pStyle w:val="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olor w:val="000000"/>
                <w:sz w:val="21"/>
                <w:szCs w:val="21"/>
              </w:rPr>
            </w:pPr>
            <w:r>
              <w:rPr>
                <w:rFonts w:hint="default" w:ascii="Times New Roman" w:hAnsi="Times New Roman" w:eastAsia="宋体" w:cs="Times New Roman"/>
                <w:color w:val="auto"/>
                <w:sz w:val="24"/>
                <w:szCs w:val="21"/>
              </w:rPr>
              <w:t>项目一般工业固体废物贮存过程应满足相应防渗漏、防雨淋、防扬尘等环境保护要求</w:t>
            </w:r>
            <w:r>
              <w:rPr>
                <w:rFonts w:hint="eastAsia" w:ascii="Times New Roman" w:hAnsi="Times New Roman" w:eastAsia="宋体" w:cs="Times New Roman"/>
                <w:color w:val="auto"/>
                <w:sz w:val="24"/>
                <w:szCs w:val="21"/>
                <w:lang w:eastAsia="zh-CN"/>
              </w:rPr>
              <w:t>。</w:t>
            </w:r>
          </w:p>
          <w:p w14:paraId="585BABCA">
            <w:pPr>
              <w:pStyle w:val="9"/>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rPr>
            </w:pPr>
          </w:p>
          <w:p w14:paraId="0E7ABF46">
            <w:pPr>
              <w:pStyle w:val="9"/>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rPr>
            </w:pPr>
          </w:p>
          <w:p w14:paraId="0A1D8571">
            <w:pPr>
              <w:pStyle w:val="9"/>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rPr>
            </w:pPr>
          </w:p>
          <w:p w14:paraId="73D30AA4">
            <w:pPr>
              <w:rPr>
                <w:rFonts w:ascii="宋体" w:hAnsi="宋体" w:eastAsia="宋体"/>
                <w:color w:val="000000"/>
                <w:sz w:val="21"/>
                <w:szCs w:val="21"/>
              </w:rPr>
            </w:pPr>
          </w:p>
          <w:p w14:paraId="31B6CED6">
            <w:pPr>
              <w:pStyle w:val="16"/>
              <w:rPr>
                <w:rFonts w:ascii="宋体" w:hAnsi="宋体" w:eastAsia="宋体"/>
                <w:color w:val="000000"/>
                <w:sz w:val="21"/>
                <w:szCs w:val="21"/>
              </w:rPr>
            </w:pPr>
          </w:p>
          <w:p w14:paraId="4C54ED4F"/>
          <w:p w14:paraId="1FA93C9D">
            <w:pPr>
              <w:rPr>
                <w:rFonts w:ascii="宋体" w:hAnsi="宋体" w:eastAsia="宋体"/>
                <w:color w:val="000000"/>
                <w:sz w:val="21"/>
                <w:szCs w:val="21"/>
              </w:rPr>
            </w:pPr>
          </w:p>
          <w:p w14:paraId="4D7B859D">
            <w:pPr>
              <w:pStyle w:val="16"/>
              <w:rPr>
                <w:rFonts w:ascii="宋体" w:hAnsi="宋体" w:eastAsia="宋体"/>
                <w:color w:val="000000"/>
                <w:sz w:val="21"/>
                <w:szCs w:val="21"/>
              </w:rPr>
            </w:pPr>
          </w:p>
          <w:p w14:paraId="423510BA">
            <w:pPr>
              <w:rPr>
                <w:rFonts w:ascii="宋体" w:hAnsi="宋体" w:eastAsia="宋体"/>
                <w:color w:val="000000"/>
                <w:sz w:val="21"/>
                <w:szCs w:val="21"/>
              </w:rPr>
            </w:pPr>
          </w:p>
          <w:p w14:paraId="48F707DB">
            <w:pPr>
              <w:pStyle w:val="9"/>
              <w:rPr>
                <w:rFonts w:ascii="宋体" w:hAnsi="宋体" w:eastAsia="宋体"/>
                <w:color w:val="000000"/>
                <w:sz w:val="21"/>
                <w:szCs w:val="21"/>
              </w:rPr>
            </w:pPr>
          </w:p>
          <w:p w14:paraId="15DAC4D4">
            <w:pPr>
              <w:rPr>
                <w:rFonts w:ascii="宋体" w:hAnsi="宋体" w:eastAsia="宋体"/>
                <w:color w:val="000000"/>
                <w:sz w:val="21"/>
                <w:szCs w:val="21"/>
              </w:rPr>
            </w:pPr>
          </w:p>
          <w:p w14:paraId="38E334EF">
            <w:pPr>
              <w:pStyle w:val="9"/>
            </w:pPr>
          </w:p>
          <w:p w14:paraId="41305E5B">
            <w:pPr>
              <w:pStyle w:val="9"/>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rPr>
            </w:pPr>
          </w:p>
          <w:p w14:paraId="3BEE7C9E">
            <w:pPr>
              <w:pStyle w:val="9"/>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olor w:val="000000"/>
                <w:sz w:val="21"/>
                <w:szCs w:val="21"/>
              </w:rPr>
            </w:pPr>
          </w:p>
        </w:tc>
      </w:tr>
    </w:tbl>
    <w:p w14:paraId="6D487248">
      <w:pPr>
        <w:pStyle w:val="2"/>
        <w:rPr>
          <w:rFonts w:hint="eastAsia"/>
          <w:sz w:val="28"/>
          <w:szCs w:val="28"/>
        </w:rPr>
      </w:pPr>
      <w:bookmarkStart w:id="9" w:name="_Toc27046"/>
      <w:bookmarkStart w:id="10" w:name="_Toc27125"/>
      <w:bookmarkStart w:id="11" w:name="_Toc19027"/>
      <w:bookmarkStart w:id="12" w:name="_Toc12769"/>
      <w:r>
        <w:rPr>
          <w:sz w:val="28"/>
          <w:szCs w:val="28"/>
        </w:rPr>
        <w:t>表二</w:t>
      </w:r>
      <w:r>
        <w:rPr>
          <w:rFonts w:hint="eastAsia"/>
          <w:sz w:val="28"/>
          <w:szCs w:val="28"/>
          <w:lang w:val="en-US" w:eastAsia="zh-CN"/>
        </w:rPr>
        <w:t xml:space="preserve"> </w:t>
      </w:r>
      <w:r>
        <w:rPr>
          <w:rFonts w:hint="eastAsia"/>
          <w:sz w:val="28"/>
          <w:szCs w:val="28"/>
        </w:rPr>
        <w:t>工程建设内容</w:t>
      </w:r>
      <w:bookmarkEnd w:id="9"/>
      <w:bookmarkEnd w:id="10"/>
      <w:bookmarkEnd w:id="11"/>
      <w:bookmarkEnd w:id="12"/>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8522"/>
      </w:tblGrid>
      <w:tr w14:paraId="233602AA">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8522" w:type="dxa"/>
            <w:tcBorders>
              <w:tl2br w:val="nil"/>
              <w:tr2bl w:val="nil"/>
            </w:tcBorders>
            <w:noWrap w:val="0"/>
            <w:vAlign w:val="top"/>
          </w:tcPr>
          <w:p w14:paraId="35DD6F83">
            <w:pPr>
              <w:keepNext w:val="0"/>
              <w:keepLines w:val="0"/>
              <w:pageBreakBefore w:val="0"/>
              <w:kinsoku/>
              <w:wordWrap/>
              <w:overflowPunct/>
              <w:topLinePunct w:val="0"/>
              <w:bidi w:val="0"/>
              <w:adjustRightInd w:val="0"/>
              <w:snapToGrid w:val="0"/>
              <w:spacing w:line="360" w:lineRule="auto"/>
              <w:ind w:firstLine="480"/>
              <w:textAlignment w:val="auto"/>
              <w:rPr>
                <w:rFonts w:hint="eastAsia"/>
                <w:sz w:val="24"/>
                <w:szCs w:val="24"/>
                <w:lang w:val="en-US" w:eastAsia="zh-CN"/>
              </w:rPr>
            </w:pPr>
            <w:r>
              <w:rPr>
                <w:rFonts w:hint="eastAsia" w:ascii="Times New Roman" w:hAnsi="Times New Roman" w:cs="Times New Roman"/>
                <w:sz w:val="24"/>
                <w:szCs w:val="24"/>
                <w:lang w:val="en-US" w:eastAsia="zh-CN"/>
              </w:rPr>
              <w:t>1.</w:t>
            </w:r>
            <w:r>
              <w:rPr>
                <w:rFonts w:hint="eastAsia"/>
                <w:sz w:val="24"/>
                <w:szCs w:val="24"/>
                <w:lang w:val="en-US" w:eastAsia="zh-CN"/>
              </w:rPr>
              <w:t>项目建设规模</w:t>
            </w:r>
          </w:p>
          <w:p w14:paraId="0DE4B8ED">
            <w:pPr>
              <w:keepNext w:val="0"/>
              <w:keepLines w:val="0"/>
              <w:pageBreakBefore w:val="0"/>
              <w:widowControl w:val="0"/>
              <w:tabs>
                <w:tab w:val="left" w:pos="450"/>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佛山康立泰数码科技有限公司江西分公司年产6万吨陶瓷原料生产建设项目</w:t>
            </w:r>
            <w:r>
              <w:rPr>
                <w:rFonts w:hint="default" w:ascii="Times New Roman" w:hAnsi="Times New Roman" w:eastAsia="宋体" w:cs="Times New Roman"/>
                <w:color w:val="auto"/>
                <w:sz w:val="24"/>
                <w:szCs w:val="24"/>
                <w:lang w:val="en-US" w:eastAsia="zh-CN"/>
              </w:rPr>
              <w:t>位于江西省宜春市高安市独城镇独新路以北</w:t>
            </w:r>
            <w:r>
              <w:rPr>
                <w:rFonts w:hint="eastAsia" w:ascii="Times New Roman" w:hAnsi="Times New Roman" w:eastAsia="宋体" w:cs="Times New Roman"/>
                <w:color w:val="auto"/>
                <w:sz w:val="24"/>
                <w:szCs w:val="24"/>
                <w:lang w:val="en-US" w:eastAsia="zh-CN"/>
              </w:rPr>
              <w:t>，租赁江西省瑞丰制泵有限公司原成品仓库进行建设</w:t>
            </w:r>
            <w:r>
              <w:rPr>
                <w:rFonts w:hint="eastAsia" w:ascii="Times New Roman" w:hAnsi="Times New Roman" w:cs="Times New Roman"/>
                <w:color w:val="auto"/>
                <w:sz w:val="24"/>
                <w:szCs w:val="24"/>
                <w:lang w:val="en-US" w:eastAsia="zh-CN"/>
              </w:rPr>
              <w:t>，</w:t>
            </w:r>
            <w:r>
              <w:rPr>
                <w:rFonts w:hint="eastAsia" w:ascii="Times New Roman" w:hAnsi="Times New Roman" w:cs="Times New Roman"/>
                <w:sz w:val="24"/>
                <w:szCs w:val="24"/>
                <w:lang w:val="en-US" w:eastAsia="zh-CN"/>
              </w:rPr>
              <w:t>中心地理坐标：东经115°28′54.261"，北纬28°13′49.903"，总占地面积3800m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b w:val="0"/>
                <w:bCs w:val="0"/>
                <w:color w:val="000000"/>
                <w:sz w:val="24"/>
                <w:szCs w:val="24"/>
                <w:lang w:eastAsia="zh-CN"/>
              </w:rPr>
              <w:t>。项目</w:t>
            </w:r>
            <w:r>
              <w:rPr>
                <w:rFonts w:hint="eastAsia" w:ascii="Times New Roman" w:hAnsi="Times New Roman" w:cs="Times New Roman"/>
                <w:b w:val="0"/>
                <w:bCs w:val="0"/>
                <w:color w:val="000000"/>
                <w:sz w:val="24"/>
                <w:szCs w:val="24"/>
                <w:lang w:val="en-US" w:eastAsia="zh-CN"/>
              </w:rPr>
              <w:t>为新建项目，</w:t>
            </w:r>
            <w:r>
              <w:rPr>
                <w:rFonts w:hint="eastAsia" w:ascii="Times New Roman" w:hAnsi="Times New Roman" w:cs="Times New Roman"/>
                <w:b w:val="0"/>
                <w:bCs w:val="0"/>
                <w:color w:val="000000"/>
                <w:sz w:val="24"/>
                <w:szCs w:val="24"/>
                <w:lang w:eastAsia="zh-CN"/>
              </w:rPr>
              <w:t>利用钠长石、钾长石、石英、高岭土、白云石、硅灰石、氧化铝、烧土、烧滑石、方解石、碳酸钡、霞石等为原辅料，经投料、混合搅拌、检测、包装出厂等工序达到年产陶瓷原料6万吨的生产规模</w:t>
            </w:r>
            <w:r>
              <w:rPr>
                <w:rFonts w:hint="eastAsia" w:ascii="Times New Roman" w:hAnsi="Times New Roman" w:cs="Times New Roman"/>
                <w:color w:val="000000" w:themeColor="text1"/>
                <w:sz w:val="24"/>
                <w:szCs w:val="24"/>
                <w:lang w:val="en-US" w:eastAsia="zh-CN"/>
                <w14:textFill>
                  <w14:solidFill>
                    <w14:schemeClr w14:val="tx1"/>
                  </w14:solidFill>
                </w14:textFill>
              </w:rPr>
              <w:t>。</w:t>
            </w:r>
          </w:p>
          <w:p w14:paraId="357DD155">
            <w:pPr>
              <w:keepNext w:val="0"/>
              <w:keepLines w:val="0"/>
              <w:pageBreakBefore w:val="0"/>
              <w:widowControl w:val="0"/>
              <w:tabs>
                <w:tab w:val="left" w:pos="450"/>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b w:val="0"/>
                <w:bCs w:val="0"/>
                <w:color w:val="000000"/>
                <w:sz w:val="24"/>
                <w:szCs w:val="24"/>
                <w:lang w:eastAsia="zh-CN"/>
              </w:rPr>
              <w:t>主要建设内容：主体工程（包括生产区）、储运工程（包括原料区1、原料区2、成品区、仓库－业主方）、辅助工程（包括办公区）等依托江西省瑞丰制泵有限公司现有生产车间进行改造，新建给排水供电工程、废水废气噪声固废治理设施。</w:t>
            </w:r>
          </w:p>
          <w:p w14:paraId="0E26725C">
            <w:pPr>
              <w:keepNext w:val="0"/>
              <w:keepLines w:val="0"/>
              <w:pageBreakBefore w:val="0"/>
              <w:widowControl w:val="0"/>
              <w:tabs>
                <w:tab w:val="left" w:pos="450"/>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sz w:val="24"/>
                <w:szCs w:val="24"/>
                <w:lang w:val="en-US" w:eastAsia="zh-CN"/>
              </w:rPr>
            </w:pPr>
            <w:r>
              <w:rPr>
                <w:rFonts w:hint="default" w:ascii="Times New Roman" w:hAnsi="Times New Roman" w:cs="Times New Roman"/>
                <w:sz w:val="24"/>
                <w:szCs w:val="24"/>
                <w:lang w:val="en-US" w:eastAsia="zh-CN"/>
              </w:rPr>
              <w:t>项目</w:t>
            </w:r>
            <w:r>
              <w:rPr>
                <w:rFonts w:hint="eastAsia" w:ascii="Times New Roman" w:hAnsi="Times New Roman" w:cs="Times New Roman"/>
                <w:color w:val="000000" w:themeColor="text1"/>
                <w:sz w:val="24"/>
                <w:szCs w:val="24"/>
                <w:lang w:val="en-US" w:eastAsia="zh-CN"/>
                <w14:textFill>
                  <w14:solidFill>
                    <w14:schemeClr w14:val="tx1"/>
                  </w14:solidFill>
                </w14:textFill>
              </w:rPr>
              <w:t>劳动定员15人，仅在厂区住宿，实行3班制，工作时间为8h每班，年工作300天</w:t>
            </w:r>
            <w:r>
              <w:rPr>
                <w:rFonts w:hint="eastAsia" w:ascii="Times New Roman" w:hAnsi="Times New Roman" w:cs="Times New Roman"/>
                <w:sz w:val="24"/>
                <w:szCs w:val="24"/>
                <w:lang w:val="en-US" w:eastAsia="zh-CN"/>
              </w:rPr>
              <w:t>。</w:t>
            </w:r>
          </w:p>
          <w:p w14:paraId="5EF926CE">
            <w:pPr>
              <w:pStyle w:val="9"/>
              <w:keepNext w:val="0"/>
              <w:keepLines w:val="0"/>
              <w:pageBreakBefore w:val="0"/>
              <w:kinsoku/>
              <w:wordWrap/>
              <w:overflowPunct/>
              <w:topLinePunct w:val="0"/>
              <w:bidi w:val="0"/>
              <w:adjustRightInd w:val="0"/>
              <w:snapToGrid w:val="0"/>
              <w:spacing w:line="360" w:lineRule="auto"/>
              <w:ind w:firstLine="480"/>
              <w:textAlignment w:val="auto"/>
              <w:rPr>
                <w:sz w:val="24"/>
                <w:szCs w:val="24"/>
              </w:rPr>
            </w:pPr>
            <w:r>
              <w:rPr>
                <w:rFonts w:hint="eastAsia"/>
                <w:sz w:val="24"/>
                <w:szCs w:val="24"/>
              </w:rPr>
              <w:t>具体建设内容如下：</w:t>
            </w:r>
          </w:p>
          <w:p w14:paraId="69464574">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cs="Times New Roman"/>
                <w:b/>
                <w:bCs/>
                <w:sz w:val="21"/>
                <w:szCs w:val="21"/>
              </w:rPr>
              <w:t>表</w:t>
            </w:r>
            <w:r>
              <w:rPr>
                <w:rFonts w:hint="default" w:ascii="Times New Roman" w:hAnsi="Times New Roman" w:cs="Times New Roman"/>
                <w:b/>
                <w:bCs/>
                <w:sz w:val="21"/>
                <w:szCs w:val="21"/>
                <w:lang w:val="en-US" w:eastAsia="zh-CN"/>
              </w:rPr>
              <w:t>2-1</w:t>
            </w:r>
            <w:r>
              <w:rPr>
                <w:rFonts w:hint="default" w:ascii="Times New Roman" w:hAnsi="Times New Roman" w:cs="Times New Roman"/>
                <w:b/>
                <w:bCs/>
                <w:sz w:val="21"/>
                <w:szCs w:val="21"/>
              </w:rPr>
              <w:t>项目建设组成内容</w:t>
            </w:r>
            <w:r>
              <w:rPr>
                <w:rFonts w:hint="default" w:ascii="Times New Roman" w:hAnsi="Times New Roman" w:cs="Times New Roman"/>
                <w:b/>
                <w:bCs/>
                <w:sz w:val="21"/>
                <w:szCs w:val="21"/>
                <w:lang w:eastAsia="zh-CN"/>
              </w:rPr>
              <w:t>环评与实际对照</w:t>
            </w:r>
            <w:r>
              <w:rPr>
                <w:rFonts w:hint="default" w:ascii="Times New Roman" w:hAnsi="Times New Roman" w:cs="Times New Roman"/>
                <w:b/>
                <w:bCs/>
                <w:sz w:val="21"/>
                <w:szCs w:val="21"/>
              </w:rPr>
              <w:t>表</w:t>
            </w:r>
          </w:p>
          <w:tbl>
            <w:tblPr>
              <w:tblStyle w:val="24"/>
              <w:tblW w:w="847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3"/>
              <w:gridCol w:w="450"/>
              <w:gridCol w:w="1110"/>
              <w:gridCol w:w="2580"/>
              <w:gridCol w:w="2535"/>
              <w:gridCol w:w="1147"/>
            </w:tblGrid>
            <w:tr w14:paraId="2C066D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5" w:type="pct"/>
                  <w:tcBorders>
                    <w:tl2br w:val="nil"/>
                    <w:tr2bl w:val="nil"/>
                  </w:tcBorders>
                  <w:noWrap w:val="0"/>
                  <w:vAlign w:val="center"/>
                </w:tcPr>
                <w:p w14:paraId="31B08201">
                  <w:pPr>
                    <w:keepNext w:val="0"/>
                    <w:keepLines w:val="0"/>
                    <w:pageBreakBefore w:val="0"/>
                    <w:widowControl w:val="0"/>
                    <w:kinsoku/>
                    <w:wordWrap/>
                    <w:overflowPunct/>
                    <w:topLinePunct w:val="0"/>
                    <w:autoSpaceDE/>
                    <w:autoSpaceDN/>
                    <w:bidi w:val="0"/>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项目</w:t>
                  </w:r>
                </w:p>
              </w:tc>
              <w:tc>
                <w:tcPr>
                  <w:tcW w:w="920" w:type="pct"/>
                  <w:gridSpan w:val="2"/>
                  <w:tcBorders>
                    <w:tl2br w:val="nil"/>
                    <w:tr2bl w:val="nil"/>
                  </w:tcBorders>
                  <w:noWrap w:val="0"/>
                  <w:vAlign w:val="center"/>
                </w:tcPr>
                <w:p w14:paraId="3F334559">
                  <w:pPr>
                    <w:keepNext w:val="0"/>
                    <w:keepLines w:val="0"/>
                    <w:pageBreakBefore w:val="0"/>
                    <w:widowControl w:val="0"/>
                    <w:kinsoku/>
                    <w:wordWrap/>
                    <w:overflowPunct/>
                    <w:topLinePunct w:val="0"/>
                    <w:autoSpaceDE/>
                    <w:autoSpaceDN/>
                    <w:bidi w:val="0"/>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工程名称</w:t>
                  </w:r>
                </w:p>
              </w:tc>
              <w:tc>
                <w:tcPr>
                  <w:tcW w:w="1522" w:type="pct"/>
                  <w:tcBorders>
                    <w:tl2br w:val="nil"/>
                    <w:tr2bl w:val="nil"/>
                  </w:tcBorders>
                  <w:noWrap w:val="0"/>
                  <w:vAlign w:val="center"/>
                </w:tcPr>
                <w:p w14:paraId="1A96CFC9">
                  <w:pPr>
                    <w:keepNext w:val="0"/>
                    <w:keepLines w:val="0"/>
                    <w:pageBreakBefore w:val="0"/>
                    <w:widowControl w:val="0"/>
                    <w:kinsoku/>
                    <w:wordWrap/>
                    <w:overflowPunct/>
                    <w:topLinePunct w:val="0"/>
                    <w:autoSpaceDE/>
                    <w:autoSpaceDN/>
                    <w:bidi w:val="0"/>
                    <w:snapToGrid/>
                    <w:spacing w:line="240" w:lineRule="auto"/>
                    <w:ind w:left="0" w:firstLine="0" w:firstLineChars="0"/>
                    <w:jc w:val="center"/>
                    <w:textAlignment w:val="auto"/>
                    <w:rPr>
                      <w:rFonts w:hint="eastAsia" w:ascii="Times New Roman" w:hAnsi="Times New Roman" w:eastAsia="宋体" w:cs="Times New Roman"/>
                      <w:b/>
                      <w:color w:val="auto"/>
                      <w:sz w:val="21"/>
                      <w:szCs w:val="21"/>
                      <w:lang w:eastAsia="zh-CN"/>
                    </w:rPr>
                  </w:pPr>
                  <w:r>
                    <w:rPr>
                      <w:rFonts w:hint="eastAsia" w:ascii="Times New Roman" w:hAnsi="Times New Roman" w:eastAsia="宋体" w:cs="Times New Roman"/>
                      <w:b/>
                      <w:color w:val="auto"/>
                      <w:sz w:val="21"/>
                      <w:szCs w:val="21"/>
                      <w:lang w:eastAsia="zh-CN"/>
                    </w:rPr>
                    <w:t>环评建设内容</w:t>
                  </w:r>
                </w:p>
              </w:tc>
              <w:tc>
                <w:tcPr>
                  <w:tcW w:w="1495" w:type="pct"/>
                  <w:tcBorders>
                    <w:tl2br w:val="nil"/>
                    <w:tr2bl w:val="nil"/>
                  </w:tcBorders>
                  <w:noWrap w:val="0"/>
                  <w:vAlign w:val="center"/>
                </w:tcPr>
                <w:p w14:paraId="7AC75F14">
                  <w:pPr>
                    <w:keepNext w:val="0"/>
                    <w:keepLines w:val="0"/>
                    <w:pageBreakBefore w:val="0"/>
                    <w:widowControl w:val="0"/>
                    <w:kinsoku/>
                    <w:wordWrap/>
                    <w:overflowPunct/>
                    <w:topLinePunct w:val="0"/>
                    <w:autoSpaceDE/>
                    <w:autoSpaceDN/>
                    <w:bidi w:val="0"/>
                    <w:snapToGrid/>
                    <w:spacing w:line="240" w:lineRule="auto"/>
                    <w:ind w:left="0" w:firstLine="0" w:firstLineChars="0"/>
                    <w:jc w:val="center"/>
                    <w:textAlignment w:val="auto"/>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项目实际</w:t>
                  </w:r>
                  <w:r>
                    <w:rPr>
                      <w:rFonts w:hint="eastAsia" w:ascii="Times New Roman" w:hAnsi="Times New Roman" w:eastAsia="宋体" w:cs="Times New Roman"/>
                      <w:b/>
                      <w:color w:val="auto"/>
                      <w:sz w:val="21"/>
                      <w:szCs w:val="21"/>
                      <w:lang w:eastAsia="zh-CN"/>
                    </w:rPr>
                    <w:t>建设内容</w:t>
                  </w:r>
                </w:p>
              </w:tc>
              <w:tc>
                <w:tcPr>
                  <w:tcW w:w="676" w:type="pct"/>
                  <w:tcBorders>
                    <w:tl2br w:val="nil"/>
                    <w:tr2bl w:val="nil"/>
                  </w:tcBorders>
                  <w:noWrap w:val="0"/>
                  <w:vAlign w:val="center"/>
                </w:tcPr>
                <w:p w14:paraId="0DDD12DC">
                  <w:pPr>
                    <w:keepNext w:val="0"/>
                    <w:keepLines w:val="0"/>
                    <w:pageBreakBefore w:val="0"/>
                    <w:widowControl w:val="0"/>
                    <w:kinsoku/>
                    <w:wordWrap/>
                    <w:overflowPunct/>
                    <w:topLinePunct w:val="0"/>
                    <w:autoSpaceDE/>
                    <w:autoSpaceDN/>
                    <w:bidi w:val="0"/>
                    <w:snapToGrid/>
                    <w:spacing w:line="240" w:lineRule="auto"/>
                    <w:ind w:left="0" w:firstLine="0" w:firstLineChars="0"/>
                    <w:jc w:val="center"/>
                    <w:textAlignment w:val="auto"/>
                    <w:rPr>
                      <w:rFonts w:hint="default" w:ascii="Times New Roman" w:hAnsi="Times New Roman" w:cs="Times New Roman"/>
                      <w:b/>
                      <w:color w:val="auto"/>
                      <w:sz w:val="21"/>
                      <w:szCs w:val="21"/>
                      <w:lang w:val="en-US" w:eastAsia="zh-CN"/>
                    </w:rPr>
                  </w:pPr>
                  <w:r>
                    <w:rPr>
                      <w:rFonts w:hint="eastAsia" w:ascii="Times New Roman" w:hAnsi="Times New Roman" w:cs="Times New Roman"/>
                      <w:b/>
                      <w:color w:val="auto"/>
                      <w:sz w:val="21"/>
                      <w:szCs w:val="21"/>
                      <w:lang w:val="en-US" w:eastAsia="zh-CN"/>
                    </w:rPr>
                    <w:t>变动情况</w:t>
                  </w:r>
                </w:p>
              </w:tc>
            </w:tr>
            <w:tr w14:paraId="5DF93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85" w:type="pct"/>
                  <w:tcBorders>
                    <w:tl2br w:val="nil"/>
                    <w:tr2bl w:val="nil"/>
                  </w:tcBorders>
                  <w:noWrap w:val="0"/>
                  <w:vAlign w:val="center"/>
                </w:tcPr>
                <w:p w14:paraId="6B9A2F01">
                  <w:pPr>
                    <w:keepNext w:val="0"/>
                    <w:keepLines w:val="0"/>
                    <w:pageBreakBefore w:val="0"/>
                    <w:widowControl w:val="0"/>
                    <w:kinsoku/>
                    <w:wordWrap/>
                    <w:overflowPunct/>
                    <w:topLinePunct w:val="0"/>
                    <w:autoSpaceDE/>
                    <w:autoSpaceDN/>
                    <w:bidi w:val="0"/>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主体工程</w:t>
                  </w:r>
                </w:p>
              </w:tc>
              <w:tc>
                <w:tcPr>
                  <w:tcW w:w="920" w:type="pct"/>
                  <w:gridSpan w:val="2"/>
                  <w:tcBorders>
                    <w:tl2br w:val="nil"/>
                    <w:tr2bl w:val="nil"/>
                  </w:tcBorders>
                  <w:shd w:val="clear" w:color="auto" w:fill="auto"/>
                  <w:noWrap w:val="0"/>
                  <w:vAlign w:val="center"/>
                </w:tcPr>
                <w:p w14:paraId="0504FB89">
                  <w:pPr>
                    <w:pStyle w:val="48"/>
                    <w:keepNext w:val="0"/>
                    <w:keepLines w:val="0"/>
                    <w:pageBreakBefore w:val="0"/>
                    <w:widowControl w:val="0"/>
                    <w:kinsoku/>
                    <w:wordWrap/>
                    <w:overflowPunct/>
                    <w:topLinePunct w:val="0"/>
                    <w:autoSpaceDE/>
                    <w:autoSpaceDN/>
                    <w:bidi w:val="0"/>
                    <w:adjustRightInd w:val="0"/>
                    <w:snapToGrid/>
                    <w:spacing w:before="0" w:line="240" w:lineRule="auto"/>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生产区</w:t>
                  </w:r>
                </w:p>
              </w:tc>
              <w:tc>
                <w:tcPr>
                  <w:tcW w:w="1522" w:type="pct"/>
                  <w:tcBorders>
                    <w:tl2br w:val="nil"/>
                    <w:tr2bl w:val="nil"/>
                  </w:tcBorders>
                  <w:shd w:val="clear" w:color="auto" w:fill="auto"/>
                  <w:noWrap w:val="0"/>
                  <w:vAlign w:val="center"/>
                </w:tcPr>
                <w:p w14:paraId="356B97BD">
                  <w:pPr>
                    <w:pStyle w:val="48"/>
                    <w:keepNext w:val="0"/>
                    <w:keepLines w:val="0"/>
                    <w:pageBreakBefore w:val="0"/>
                    <w:widowControl w:val="0"/>
                    <w:kinsoku/>
                    <w:wordWrap/>
                    <w:overflowPunct/>
                    <w:topLinePunct w:val="0"/>
                    <w:autoSpaceDE/>
                    <w:autoSpaceDN/>
                    <w:bidi w:val="0"/>
                    <w:adjustRightInd w:val="0"/>
                    <w:snapToGrid/>
                    <w:spacing w:before="0" w:line="240" w:lineRule="auto"/>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1F，面积约400m</w:t>
                  </w:r>
                  <w:r>
                    <w:rPr>
                      <w:rFonts w:hint="default" w:ascii="Times New Roman" w:hAnsi="Times New Roman" w:eastAsia="宋体" w:cs="Times New Roman"/>
                      <w:color w:val="000000"/>
                      <w:kern w:val="2"/>
                      <w:sz w:val="21"/>
                      <w:szCs w:val="21"/>
                      <w:vertAlign w:val="superscript"/>
                      <w:lang w:val="en-US" w:eastAsia="zh-CN" w:bidi="ar-SA"/>
                    </w:rPr>
                    <w:t>2</w:t>
                  </w:r>
                  <w:r>
                    <w:rPr>
                      <w:rFonts w:hint="default" w:ascii="Times New Roman" w:hAnsi="Times New Roman" w:eastAsia="宋体" w:cs="Times New Roman"/>
                      <w:color w:val="000000"/>
                      <w:kern w:val="2"/>
                      <w:sz w:val="21"/>
                      <w:szCs w:val="21"/>
                      <w:vertAlign w:val="baseline"/>
                      <w:lang w:val="en-US" w:eastAsia="zh-CN" w:bidi="ar-SA"/>
                    </w:rPr>
                    <w:t>，用于生产等。</w:t>
                  </w:r>
                </w:p>
              </w:tc>
              <w:tc>
                <w:tcPr>
                  <w:tcW w:w="1495" w:type="pct"/>
                  <w:tcBorders>
                    <w:tl2br w:val="nil"/>
                    <w:tr2bl w:val="nil"/>
                  </w:tcBorders>
                  <w:shd w:val="clear" w:color="auto" w:fill="auto"/>
                  <w:noWrap w:val="0"/>
                  <w:vAlign w:val="center"/>
                </w:tcPr>
                <w:p w14:paraId="68C5314E">
                  <w:pPr>
                    <w:pStyle w:val="48"/>
                    <w:keepNext w:val="0"/>
                    <w:keepLines w:val="0"/>
                    <w:pageBreakBefore w:val="0"/>
                    <w:widowControl w:val="0"/>
                    <w:kinsoku/>
                    <w:wordWrap/>
                    <w:overflowPunct/>
                    <w:topLinePunct w:val="0"/>
                    <w:autoSpaceDE/>
                    <w:autoSpaceDN/>
                    <w:bidi w:val="0"/>
                    <w:adjustRightInd w:val="0"/>
                    <w:snapToGrid/>
                    <w:spacing w:before="0" w:line="240" w:lineRule="auto"/>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1F，面积约400m</w:t>
                  </w:r>
                  <w:r>
                    <w:rPr>
                      <w:rFonts w:hint="default" w:ascii="Times New Roman" w:hAnsi="Times New Roman" w:eastAsia="宋体" w:cs="Times New Roman"/>
                      <w:color w:val="000000"/>
                      <w:kern w:val="2"/>
                      <w:sz w:val="21"/>
                      <w:szCs w:val="21"/>
                      <w:vertAlign w:val="superscript"/>
                      <w:lang w:val="en-US" w:eastAsia="zh-CN" w:bidi="ar-SA"/>
                    </w:rPr>
                    <w:t>2</w:t>
                  </w:r>
                  <w:r>
                    <w:rPr>
                      <w:rFonts w:hint="default" w:ascii="Times New Roman" w:hAnsi="Times New Roman" w:eastAsia="宋体" w:cs="Times New Roman"/>
                      <w:color w:val="000000"/>
                      <w:kern w:val="2"/>
                      <w:sz w:val="21"/>
                      <w:szCs w:val="21"/>
                      <w:vertAlign w:val="baseline"/>
                      <w:lang w:val="en-US" w:eastAsia="zh-CN" w:bidi="ar-SA"/>
                    </w:rPr>
                    <w:t>，用于生产等。</w:t>
                  </w:r>
                </w:p>
              </w:tc>
              <w:tc>
                <w:tcPr>
                  <w:tcW w:w="676" w:type="pct"/>
                  <w:tcBorders>
                    <w:tl2br w:val="nil"/>
                    <w:tr2bl w:val="nil"/>
                  </w:tcBorders>
                  <w:noWrap w:val="0"/>
                  <w:vAlign w:val="center"/>
                </w:tcPr>
                <w:p w14:paraId="62E27F85">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无变动</w:t>
                  </w:r>
                </w:p>
              </w:tc>
            </w:tr>
            <w:tr w14:paraId="479C3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385" w:type="pct"/>
                  <w:tcBorders>
                    <w:tl2br w:val="nil"/>
                    <w:tr2bl w:val="nil"/>
                  </w:tcBorders>
                  <w:noWrap w:val="0"/>
                  <w:vAlign w:val="center"/>
                </w:tcPr>
                <w:p w14:paraId="15F37AF5">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cs="Times New Roman"/>
                      <w:b/>
                      <w:bCs/>
                      <w:color w:val="000000"/>
                      <w:sz w:val="21"/>
                      <w:szCs w:val="21"/>
                      <w:vertAlign w:val="baseline"/>
                      <w:lang w:val="en-US" w:eastAsia="zh-CN"/>
                    </w:rPr>
                    <w:t>辅助工程</w:t>
                  </w:r>
                </w:p>
              </w:tc>
              <w:tc>
                <w:tcPr>
                  <w:tcW w:w="920" w:type="pct"/>
                  <w:gridSpan w:val="2"/>
                  <w:tcBorders>
                    <w:tl2br w:val="nil"/>
                    <w:tr2bl w:val="nil"/>
                  </w:tcBorders>
                  <w:shd w:val="clear" w:color="auto" w:fill="auto"/>
                  <w:noWrap w:val="0"/>
                  <w:vAlign w:val="center"/>
                </w:tcPr>
                <w:p w14:paraId="3FE3A5DC">
                  <w:pPr>
                    <w:pStyle w:val="48"/>
                    <w:keepNext w:val="0"/>
                    <w:keepLines w:val="0"/>
                    <w:pageBreakBefore w:val="0"/>
                    <w:widowControl w:val="0"/>
                    <w:kinsoku/>
                    <w:wordWrap/>
                    <w:overflowPunct/>
                    <w:topLinePunct w:val="0"/>
                    <w:autoSpaceDE/>
                    <w:autoSpaceDN/>
                    <w:bidi w:val="0"/>
                    <w:snapToGrid/>
                    <w:spacing w:before="0" w:line="240" w:lineRule="auto"/>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hAnsi="Times New Roman" w:cs="Times New Roman"/>
                      <w:color w:val="000000"/>
                      <w:kern w:val="2"/>
                      <w:sz w:val="21"/>
                      <w:szCs w:val="21"/>
                      <w:vertAlign w:val="baseline"/>
                      <w:lang w:val="en-US" w:eastAsia="zh-CN" w:bidi="ar-SA"/>
                    </w:rPr>
                    <w:t>办公区</w:t>
                  </w:r>
                </w:p>
              </w:tc>
              <w:tc>
                <w:tcPr>
                  <w:tcW w:w="1522" w:type="pct"/>
                  <w:tcBorders>
                    <w:tl2br w:val="nil"/>
                    <w:tr2bl w:val="nil"/>
                  </w:tcBorders>
                  <w:shd w:val="clear" w:color="auto" w:fill="auto"/>
                  <w:noWrap w:val="0"/>
                  <w:vAlign w:val="center"/>
                </w:tcPr>
                <w:p w14:paraId="484D08DA">
                  <w:pPr>
                    <w:pStyle w:val="48"/>
                    <w:keepNext w:val="0"/>
                    <w:keepLines w:val="0"/>
                    <w:pageBreakBefore w:val="0"/>
                    <w:widowControl w:val="0"/>
                    <w:kinsoku/>
                    <w:wordWrap/>
                    <w:overflowPunct/>
                    <w:topLinePunct w:val="0"/>
                    <w:autoSpaceDE/>
                    <w:autoSpaceDN/>
                    <w:bidi w:val="0"/>
                    <w:snapToGrid/>
                    <w:spacing w:before="0" w:line="240" w:lineRule="auto"/>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auto"/>
                      <w:sz w:val="21"/>
                      <w:szCs w:val="21"/>
                      <w:highlight w:val="none"/>
                      <w:lang w:val="en-US" w:eastAsia="zh-CN"/>
                    </w:rPr>
                    <w:t>共2F，占地面积约100m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，其中1F用于员工办公、检测等，2F用于员工住宿等。</w:t>
                  </w:r>
                </w:p>
              </w:tc>
              <w:tc>
                <w:tcPr>
                  <w:tcW w:w="1495" w:type="pct"/>
                  <w:tcBorders>
                    <w:tl2br w:val="nil"/>
                    <w:tr2bl w:val="nil"/>
                  </w:tcBorders>
                  <w:shd w:val="clear" w:color="auto" w:fill="auto"/>
                  <w:noWrap w:val="0"/>
                  <w:vAlign w:val="center"/>
                </w:tcPr>
                <w:p w14:paraId="641100E0">
                  <w:pPr>
                    <w:pStyle w:val="48"/>
                    <w:keepNext w:val="0"/>
                    <w:keepLines w:val="0"/>
                    <w:pageBreakBefore w:val="0"/>
                    <w:widowControl w:val="0"/>
                    <w:kinsoku/>
                    <w:wordWrap/>
                    <w:overflowPunct/>
                    <w:topLinePunct w:val="0"/>
                    <w:autoSpaceDE/>
                    <w:autoSpaceDN/>
                    <w:bidi w:val="0"/>
                    <w:snapToGrid/>
                    <w:spacing w:before="0" w:line="240" w:lineRule="auto"/>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auto"/>
                      <w:sz w:val="21"/>
                      <w:szCs w:val="21"/>
                      <w:highlight w:val="none"/>
                      <w:lang w:val="en-US" w:eastAsia="zh-CN"/>
                    </w:rPr>
                    <w:t>共2F，占地面积约100m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，其中1F用于员工办公、检测等，2F用于员工住宿等。</w:t>
                  </w:r>
                </w:p>
              </w:tc>
              <w:tc>
                <w:tcPr>
                  <w:tcW w:w="676" w:type="pct"/>
                  <w:tcBorders>
                    <w:tl2br w:val="nil"/>
                    <w:tr2bl w:val="nil"/>
                  </w:tcBorders>
                  <w:noWrap w:val="0"/>
                  <w:vAlign w:val="center"/>
                </w:tcPr>
                <w:p w14:paraId="5C3DA8B8">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无变动</w:t>
                  </w:r>
                </w:p>
              </w:tc>
            </w:tr>
            <w:tr w14:paraId="0A8B8F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85" w:type="pct"/>
                  <w:vMerge w:val="restart"/>
                  <w:tcBorders>
                    <w:tl2br w:val="nil"/>
                    <w:tr2bl w:val="nil"/>
                  </w:tcBorders>
                  <w:noWrap w:val="0"/>
                  <w:vAlign w:val="center"/>
                </w:tcPr>
                <w:p w14:paraId="11A4E8E8">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44"/>
                      <w:sz w:val="21"/>
                      <w:szCs w:val="20"/>
                      <w:lang w:val="zh-CN" w:eastAsia="zh-CN" w:bidi="zh-CN"/>
                    </w:rPr>
                  </w:pPr>
                  <w:r>
                    <w:rPr>
                      <w:rFonts w:hint="eastAsia" w:ascii="Times New Roman" w:hAnsi="Times New Roman" w:cs="Times New Roman"/>
                      <w:b/>
                      <w:bCs/>
                      <w:color w:val="auto"/>
                      <w:lang w:val="en-US" w:eastAsia="zh-CN"/>
                    </w:rPr>
                    <w:t>储运</w:t>
                  </w:r>
                  <w:r>
                    <w:rPr>
                      <w:rFonts w:hint="default" w:ascii="Times New Roman" w:hAnsi="Times New Roman" w:cs="Times New Roman"/>
                      <w:b/>
                      <w:bCs/>
                      <w:color w:val="auto"/>
                      <w:lang w:val="zh-CN" w:eastAsia="zh-CN"/>
                    </w:rPr>
                    <w:t>工程</w:t>
                  </w:r>
                </w:p>
              </w:tc>
              <w:tc>
                <w:tcPr>
                  <w:tcW w:w="920" w:type="pct"/>
                  <w:gridSpan w:val="2"/>
                  <w:tcBorders>
                    <w:tl2br w:val="nil"/>
                    <w:tr2bl w:val="nil"/>
                  </w:tcBorders>
                  <w:shd w:val="clear" w:color="auto" w:fill="auto"/>
                  <w:noWrap w:val="0"/>
                  <w:vAlign w:val="center"/>
                </w:tcPr>
                <w:p w14:paraId="7B8C5AD7">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原料区1</w:t>
                  </w:r>
                </w:p>
              </w:tc>
              <w:tc>
                <w:tcPr>
                  <w:tcW w:w="1522" w:type="pct"/>
                  <w:tcBorders>
                    <w:tl2br w:val="nil"/>
                    <w:tr2bl w:val="nil"/>
                  </w:tcBorders>
                  <w:shd w:val="clear" w:color="auto" w:fill="auto"/>
                  <w:noWrap w:val="0"/>
                  <w:vAlign w:val="center"/>
                </w:tcPr>
                <w:p w14:paraId="1809B6CC">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1F，面积约1200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，用于存放原料</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1495" w:type="pct"/>
                  <w:tcBorders>
                    <w:tl2br w:val="nil"/>
                    <w:tr2bl w:val="nil"/>
                  </w:tcBorders>
                  <w:shd w:val="clear" w:color="auto" w:fill="auto"/>
                  <w:noWrap w:val="0"/>
                  <w:vAlign w:val="center"/>
                </w:tcPr>
                <w:p w14:paraId="3B6B1768">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auto"/>
                      <w:kern w:val="2"/>
                      <w:sz w:val="21"/>
                      <w:szCs w:val="21"/>
                      <w:lang w:val="en-US" w:eastAsia="zh-CN" w:bidi="ar-SA"/>
                    </w:rPr>
                    <w:t>1F，面积约1200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，用于存放原料</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676" w:type="pct"/>
                  <w:tcBorders>
                    <w:tl2br w:val="nil"/>
                    <w:tr2bl w:val="nil"/>
                  </w:tcBorders>
                  <w:noWrap w:val="0"/>
                  <w:vAlign w:val="center"/>
                </w:tcPr>
                <w:p w14:paraId="12DAA399">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无变动</w:t>
                  </w:r>
                </w:p>
              </w:tc>
            </w:tr>
            <w:tr w14:paraId="70E318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5" w:type="pct"/>
                  <w:vMerge w:val="continue"/>
                  <w:tcBorders>
                    <w:tl2br w:val="nil"/>
                    <w:tr2bl w:val="nil"/>
                  </w:tcBorders>
                  <w:noWrap w:val="0"/>
                  <w:vAlign w:val="center"/>
                </w:tcPr>
                <w:p w14:paraId="354FF8B5">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pPr>
                </w:p>
              </w:tc>
              <w:tc>
                <w:tcPr>
                  <w:tcW w:w="920" w:type="pct"/>
                  <w:gridSpan w:val="2"/>
                  <w:tcBorders>
                    <w:tl2br w:val="nil"/>
                    <w:tr2bl w:val="nil"/>
                  </w:tcBorders>
                  <w:shd w:val="clear" w:color="auto" w:fill="auto"/>
                  <w:noWrap w:val="0"/>
                  <w:vAlign w:val="center"/>
                </w:tcPr>
                <w:p w14:paraId="5C09B3E4">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原料区2</w:t>
                  </w:r>
                </w:p>
              </w:tc>
              <w:tc>
                <w:tcPr>
                  <w:tcW w:w="1522" w:type="pct"/>
                  <w:tcBorders>
                    <w:tl2br w:val="nil"/>
                    <w:tr2bl w:val="nil"/>
                  </w:tcBorders>
                  <w:shd w:val="clear" w:color="auto" w:fill="auto"/>
                  <w:noWrap w:val="0"/>
                  <w:vAlign w:val="center"/>
                </w:tcPr>
                <w:p w14:paraId="55FACDD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1F，面积约1200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，用于存放原料</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1495" w:type="pct"/>
                  <w:tcBorders>
                    <w:tl2br w:val="nil"/>
                    <w:tr2bl w:val="nil"/>
                  </w:tcBorders>
                  <w:shd w:val="clear" w:color="auto" w:fill="auto"/>
                  <w:noWrap w:val="0"/>
                  <w:vAlign w:val="center"/>
                </w:tcPr>
                <w:p w14:paraId="69C966F8">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auto"/>
                      <w:kern w:val="2"/>
                      <w:sz w:val="21"/>
                      <w:szCs w:val="21"/>
                      <w:lang w:val="en-US" w:eastAsia="zh-CN" w:bidi="ar-SA"/>
                    </w:rPr>
                    <w:t>1F，面积约1200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，用于存放原料</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676" w:type="pct"/>
                  <w:tcBorders>
                    <w:tl2br w:val="nil"/>
                    <w:tr2bl w:val="nil"/>
                  </w:tcBorders>
                  <w:noWrap w:val="0"/>
                  <w:vAlign w:val="center"/>
                </w:tcPr>
                <w:p w14:paraId="39BEABC5">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无变动</w:t>
                  </w:r>
                </w:p>
              </w:tc>
            </w:tr>
            <w:tr w14:paraId="5AB95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5" w:type="pct"/>
                  <w:vMerge w:val="continue"/>
                  <w:tcBorders>
                    <w:tl2br w:val="nil"/>
                    <w:tr2bl w:val="nil"/>
                  </w:tcBorders>
                  <w:noWrap w:val="0"/>
                  <w:vAlign w:val="center"/>
                </w:tcPr>
                <w:p w14:paraId="7C5D48FE">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pPr>
                </w:p>
              </w:tc>
              <w:tc>
                <w:tcPr>
                  <w:tcW w:w="920" w:type="pct"/>
                  <w:gridSpan w:val="2"/>
                  <w:tcBorders>
                    <w:tl2br w:val="nil"/>
                    <w:tr2bl w:val="nil"/>
                  </w:tcBorders>
                  <w:shd w:val="clear" w:color="auto" w:fill="auto"/>
                  <w:noWrap w:val="0"/>
                  <w:vAlign w:val="center"/>
                </w:tcPr>
                <w:p w14:paraId="690F1974">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成品区</w:t>
                  </w:r>
                </w:p>
              </w:tc>
              <w:tc>
                <w:tcPr>
                  <w:tcW w:w="1522" w:type="pct"/>
                  <w:tcBorders>
                    <w:tl2br w:val="nil"/>
                    <w:tr2bl w:val="nil"/>
                  </w:tcBorders>
                  <w:shd w:val="clear" w:color="auto" w:fill="auto"/>
                  <w:noWrap w:val="0"/>
                  <w:vAlign w:val="center"/>
                </w:tcPr>
                <w:p w14:paraId="7B330B67">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1F，面积约400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，用于存放成品</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1495" w:type="pct"/>
                  <w:tcBorders>
                    <w:tl2br w:val="nil"/>
                    <w:tr2bl w:val="nil"/>
                  </w:tcBorders>
                  <w:shd w:val="clear" w:color="auto" w:fill="auto"/>
                  <w:noWrap w:val="0"/>
                  <w:vAlign w:val="center"/>
                </w:tcPr>
                <w:p w14:paraId="5BA3F470">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eastAsia" w:ascii="Times New Roman" w:hAnsi="Times New Roman" w:cs="Times New Roman"/>
                      <w:szCs w:val="21"/>
                      <w:lang w:val="en-US" w:eastAsia="zh-CN"/>
                    </w:rPr>
                  </w:pPr>
                  <w:r>
                    <w:rPr>
                      <w:rFonts w:hint="default" w:ascii="Times New Roman" w:hAnsi="Times New Roman" w:eastAsia="宋体" w:cs="Times New Roman"/>
                      <w:color w:val="auto"/>
                      <w:kern w:val="2"/>
                      <w:sz w:val="21"/>
                      <w:szCs w:val="21"/>
                      <w:lang w:val="en-US" w:eastAsia="zh-CN" w:bidi="ar-SA"/>
                    </w:rPr>
                    <w:t>1F，面积约400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，用于存放成品</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676" w:type="pct"/>
                  <w:tcBorders>
                    <w:tl2br w:val="nil"/>
                    <w:tr2bl w:val="nil"/>
                  </w:tcBorders>
                  <w:noWrap w:val="0"/>
                  <w:vAlign w:val="center"/>
                </w:tcPr>
                <w:p w14:paraId="66A754AB">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无变动</w:t>
                  </w:r>
                </w:p>
              </w:tc>
            </w:tr>
            <w:tr w14:paraId="115E94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5" w:type="pct"/>
                  <w:vMerge w:val="continue"/>
                  <w:tcBorders>
                    <w:tl2br w:val="nil"/>
                    <w:tr2bl w:val="nil"/>
                  </w:tcBorders>
                  <w:noWrap w:val="0"/>
                  <w:vAlign w:val="center"/>
                </w:tcPr>
                <w:p w14:paraId="6774D5D5">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pPr>
                </w:p>
              </w:tc>
              <w:tc>
                <w:tcPr>
                  <w:tcW w:w="920" w:type="pct"/>
                  <w:gridSpan w:val="2"/>
                  <w:tcBorders>
                    <w:tl2br w:val="nil"/>
                    <w:tr2bl w:val="nil"/>
                  </w:tcBorders>
                  <w:shd w:val="clear" w:color="auto" w:fill="auto"/>
                  <w:noWrap w:val="0"/>
                  <w:vAlign w:val="center"/>
                </w:tcPr>
                <w:p w14:paraId="374F3EA6">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仓库（</w:t>
                  </w:r>
                  <w:r>
                    <w:rPr>
                      <w:rFonts w:hint="default" w:ascii="Times New Roman" w:hAnsi="Times New Roman" w:eastAsia="宋体" w:cs="Times New Roman"/>
                      <w:color w:val="auto"/>
                      <w:kern w:val="2"/>
                      <w:sz w:val="21"/>
                      <w:szCs w:val="21"/>
                      <w:lang w:val="en-US" w:eastAsia="zh-CN" w:bidi="ar-SA"/>
                    </w:rPr>
                    <w:t>业主方</w:t>
                  </w:r>
                  <w:r>
                    <w:rPr>
                      <w:rFonts w:hint="default" w:ascii="Times New Roman" w:hAnsi="Times New Roman" w:cs="Times New Roman"/>
                      <w:color w:val="auto"/>
                      <w:kern w:val="0"/>
                      <w:sz w:val="21"/>
                      <w:szCs w:val="21"/>
                      <w:lang w:val="en-US" w:eastAsia="zh-CN"/>
                    </w:rPr>
                    <w:t>）</w:t>
                  </w:r>
                </w:p>
              </w:tc>
              <w:tc>
                <w:tcPr>
                  <w:tcW w:w="1522" w:type="pct"/>
                  <w:tcBorders>
                    <w:tl2br w:val="nil"/>
                    <w:tr2bl w:val="nil"/>
                  </w:tcBorders>
                  <w:shd w:val="clear" w:color="auto" w:fill="auto"/>
                  <w:noWrap w:val="0"/>
                  <w:vAlign w:val="center"/>
                </w:tcPr>
                <w:p w14:paraId="7050D2B7">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1F，面积约400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w:t>
                  </w:r>
                  <w:r>
                    <w:rPr>
                      <w:rFonts w:hint="default" w:ascii="Times New Roman" w:hAnsi="Times New Roman" w:eastAsia="宋体" w:cs="Times New Roman"/>
                      <w:color w:val="auto"/>
                      <w:sz w:val="21"/>
                      <w:szCs w:val="21"/>
                      <w:lang w:eastAsia="zh-CN"/>
                    </w:rPr>
                    <w:t>江西省瑞丰制泵有限公司</w:t>
                  </w:r>
                  <w:r>
                    <w:rPr>
                      <w:rFonts w:hint="default" w:ascii="Times New Roman" w:hAnsi="Times New Roman" w:eastAsia="宋体" w:cs="Times New Roman"/>
                      <w:color w:val="auto"/>
                      <w:kern w:val="2"/>
                      <w:sz w:val="21"/>
                      <w:szCs w:val="21"/>
                      <w:lang w:val="en-US" w:eastAsia="zh-CN" w:bidi="ar-SA"/>
                    </w:rPr>
                    <w:t>成品存放</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1495" w:type="pct"/>
                  <w:tcBorders>
                    <w:tl2br w:val="nil"/>
                    <w:tr2bl w:val="nil"/>
                  </w:tcBorders>
                  <w:shd w:val="clear" w:color="auto" w:fill="auto"/>
                  <w:noWrap w:val="0"/>
                  <w:vAlign w:val="center"/>
                </w:tcPr>
                <w:p w14:paraId="0C574781">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2"/>
                      <w:sz w:val="21"/>
                      <w:szCs w:val="21"/>
                      <w:lang w:val="en-US" w:eastAsia="zh-CN" w:bidi="ar-SA"/>
                    </w:rPr>
                    <w:t>1F，面积约400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w:t>
                  </w:r>
                  <w:r>
                    <w:rPr>
                      <w:rFonts w:hint="default" w:ascii="Times New Roman" w:hAnsi="Times New Roman" w:eastAsia="宋体" w:cs="Times New Roman"/>
                      <w:color w:val="auto"/>
                      <w:sz w:val="21"/>
                      <w:szCs w:val="21"/>
                      <w:lang w:eastAsia="zh-CN"/>
                    </w:rPr>
                    <w:t>江西省瑞丰制泵有限公司</w:t>
                  </w:r>
                  <w:r>
                    <w:rPr>
                      <w:rFonts w:hint="default" w:ascii="Times New Roman" w:hAnsi="Times New Roman" w:eastAsia="宋体" w:cs="Times New Roman"/>
                      <w:color w:val="auto"/>
                      <w:kern w:val="2"/>
                      <w:sz w:val="21"/>
                      <w:szCs w:val="21"/>
                      <w:lang w:val="en-US" w:eastAsia="zh-CN" w:bidi="ar-SA"/>
                    </w:rPr>
                    <w:t>成品存放</w:t>
                  </w:r>
                  <w:r>
                    <w:rPr>
                      <w:rFonts w:hint="default" w:ascii="Times New Roman" w:hAnsi="Times New Roman" w:cs="Times New Roman"/>
                      <w:color w:val="auto"/>
                      <w:kern w:val="0"/>
                      <w:sz w:val="21"/>
                      <w:szCs w:val="21"/>
                      <w:lang w:val="en-US" w:eastAsia="zh-CN"/>
                    </w:rPr>
                    <w:t>等</w:t>
                  </w:r>
                  <w:r>
                    <w:rPr>
                      <w:rFonts w:hint="eastAsia" w:ascii="Times New Roman" w:hAnsi="Times New Roman" w:cs="Times New Roman"/>
                      <w:color w:val="auto"/>
                      <w:kern w:val="0"/>
                      <w:sz w:val="21"/>
                      <w:szCs w:val="21"/>
                      <w:lang w:val="en-US" w:eastAsia="zh-CN"/>
                    </w:rPr>
                    <w:t>。</w:t>
                  </w:r>
                </w:p>
              </w:tc>
              <w:tc>
                <w:tcPr>
                  <w:tcW w:w="676" w:type="pct"/>
                  <w:tcBorders>
                    <w:tl2br w:val="nil"/>
                    <w:tr2bl w:val="nil"/>
                  </w:tcBorders>
                  <w:noWrap w:val="0"/>
                  <w:vAlign w:val="center"/>
                </w:tcPr>
                <w:p w14:paraId="24BB3748">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eastAsia="zh-CN"/>
                    </w:rPr>
                  </w:pPr>
                  <w:r>
                    <w:rPr>
                      <w:rFonts w:hint="eastAsia" w:ascii="Times New Roman" w:hAnsi="Times New Roman" w:cs="Times New Roman"/>
                      <w:szCs w:val="21"/>
                      <w:lang w:val="en-US" w:eastAsia="zh-CN"/>
                    </w:rPr>
                    <w:t>无变动</w:t>
                  </w:r>
                </w:p>
              </w:tc>
            </w:tr>
            <w:tr w14:paraId="742E0A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85" w:type="pct"/>
                  <w:vMerge w:val="restart"/>
                  <w:tcBorders>
                    <w:tl2br w:val="nil"/>
                    <w:tr2bl w:val="nil"/>
                  </w:tcBorders>
                  <w:noWrap w:val="0"/>
                  <w:vAlign w:val="center"/>
                </w:tcPr>
                <w:p w14:paraId="78BCE251">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44"/>
                      <w:sz w:val="21"/>
                      <w:szCs w:val="20"/>
                      <w:lang w:val="en-US" w:eastAsia="zh-CN" w:bidi="zh-CN"/>
                    </w:rPr>
                  </w:pPr>
                  <w:r>
                    <w:rPr>
                      <w:rFonts w:hint="eastAsia" w:ascii="Times New Roman" w:hAnsi="Times New Roman" w:cs="Times New Roman"/>
                      <w:b/>
                      <w:bCs/>
                      <w:color w:val="auto"/>
                      <w:kern w:val="44"/>
                      <w:sz w:val="21"/>
                      <w:szCs w:val="20"/>
                      <w:lang w:val="en-US" w:eastAsia="zh-CN" w:bidi="zh-CN"/>
                    </w:rPr>
                    <w:t>公用工程</w:t>
                  </w:r>
                </w:p>
              </w:tc>
              <w:tc>
                <w:tcPr>
                  <w:tcW w:w="920" w:type="pct"/>
                  <w:gridSpan w:val="2"/>
                  <w:tcBorders>
                    <w:tl2br w:val="nil"/>
                    <w:tr2bl w:val="nil"/>
                  </w:tcBorders>
                  <w:shd w:val="clear" w:color="auto" w:fill="auto"/>
                  <w:noWrap w:val="0"/>
                  <w:vAlign w:val="center"/>
                </w:tcPr>
                <w:p w14:paraId="546C5DF7">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给水</w:t>
                  </w:r>
                </w:p>
              </w:tc>
              <w:tc>
                <w:tcPr>
                  <w:tcW w:w="1522" w:type="pct"/>
                  <w:tcBorders>
                    <w:tl2br w:val="nil"/>
                    <w:tr2bl w:val="nil"/>
                  </w:tcBorders>
                  <w:shd w:val="clear" w:color="auto" w:fill="auto"/>
                  <w:noWrap w:val="0"/>
                  <w:vAlign w:val="center"/>
                </w:tcPr>
                <w:p w14:paraId="03C3916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由市政供水管网供给</w:t>
                  </w:r>
                  <w:r>
                    <w:rPr>
                      <w:rFonts w:hint="eastAsia" w:ascii="Times New Roman" w:hAnsi="Times New Roman" w:eastAsia="宋体" w:cs="Times New Roman"/>
                      <w:color w:val="auto"/>
                      <w:kern w:val="0"/>
                      <w:sz w:val="21"/>
                      <w:szCs w:val="21"/>
                      <w:lang w:val="en-US" w:eastAsia="zh-CN"/>
                    </w:rPr>
                    <w:t>。</w:t>
                  </w:r>
                </w:p>
              </w:tc>
              <w:tc>
                <w:tcPr>
                  <w:tcW w:w="1495" w:type="pct"/>
                  <w:tcBorders>
                    <w:tl2br w:val="nil"/>
                    <w:tr2bl w:val="nil"/>
                  </w:tcBorders>
                  <w:shd w:val="clear" w:color="auto" w:fill="auto"/>
                  <w:noWrap w:val="0"/>
                  <w:vAlign w:val="center"/>
                </w:tcPr>
                <w:p w14:paraId="4E3BFD0D">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由市政供水管网供给</w:t>
                  </w:r>
                  <w:r>
                    <w:rPr>
                      <w:rFonts w:hint="eastAsia" w:ascii="Times New Roman" w:hAnsi="Times New Roman" w:eastAsia="宋体" w:cs="Times New Roman"/>
                      <w:color w:val="auto"/>
                      <w:kern w:val="0"/>
                      <w:sz w:val="21"/>
                      <w:szCs w:val="21"/>
                      <w:lang w:val="en-US" w:eastAsia="zh-CN"/>
                    </w:rPr>
                    <w:t>。</w:t>
                  </w:r>
                </w:p>
              </w:tc>
              <w:tc>
                <w:tcPr>
                  <w:tcW w:w="676" w:type="pct"/>
                  <w:tcBorders>
                    <w:tl2br w:val="nil"/>
                    <w:tr2bl w:val="nil"/>
                  </w:tcBorders>
                  <w:noWrap w:val="0"/>
                  <w:vAlign w:val="center"/>
                </w:tcPr>
                <w:p w14:paraId="71201078">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无变动</w:t>
                  </w:r>
                </w:p>
              </w:tc>
            </w:tr>
            <w:tr w14:paraId="25CE9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85" w:type="pct"/>
                  <w:vMerge w:val="continue"/>
                  <w:tcBorders>
                    <w:tl2br w:val="nil"/>
                    <w:tr2bl w:val="nil"/>
                  </w:tcBorders>
                  <w:noWrap w:val="0"/>
                  <w:vAlign w:val="center"/>
                </w:tcPr>
                <w:p w14:paraId="773CE6E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44"/>
                      <w:sz w:val="21"/>
                      <w:szCs w:val="20"/>
                      <w:lang w:val="zh-CN" w:eastAsia="zh-CN" w:bidi="zh-CN"/>
                    </w:rPr>
                  </w:pPr>
                </w:p>
              </w:tc>
              <w:tc>
                <w:tcPr>
                  <w:tcW w:w="920" w:type="pct"/>
                  <w:gridSpan w:val="2"/>
                  <w:tcBorders>
                    <w:tl2br w:val="nil"/>
                    <w:tr2bl w:val="nil"/>
                  </w:tcBorders>
                  <w:shd w:val="clear" w:color="auto" w:fill="auto"/>
                  <w:noWrap w:val="0"/>
                  <w:vAlign w:val="center"/>
                </w:tcPr>
                <w:p w14:paraId="37CBB457">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eastAsia="zh-CN"/>
                    </w:rPr>
                    <w:t>排水</w:t>
                  </w:r>
                </w:p>
              </w:tc>
              <w:tc>
                <w:tcPr>
                  <w:tcW w:w="1522" w:type="pct"/>
                  <w:tcBorders>
                    <w:tl2br w:val="nil"/>
                    <w:tr2bl w:val="nil"/>
                  </w:tcBorders>
                  <w:shd w:val="clear" w:color="auto" w:fill="auto"/>
                  <w:noWrap w:val="0"/>
                  <w:vAlign w:val="center"/>
                </w:tcPr>
                <w:p w14:paraId="6D26188B">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雨污分流</w:t>
                  </w:r>
                  <w:r>
                    <w:rPr>
                      <w:rFonts w:hint="eastAsia" w:ascii="Times New Roman" w:hAnsi="Times New Roman" w:cs="Times New Roman"/>
                      <w:color w:val="auto"/>
                      <w:kern w:val="2"/>
                      <w:sz w:val="21"/>
                      <w:szCs w:val="21"/>
                      <w:lang w:val="en-US" w:eastAsia="zh-CN" w:bidi="ar-SA"/>
                    </w:rPr>
                    <w:t>。初期雨水经初期雨水收集池沉淀后用于洒水降尘</w:t>
                  </w:r>
                  <w:r>
                    <w:rPr>
                      <w:rFonts w:hint="default" w:ascii="Times New Roman" w:hAnsi="Times New Roman" w:cs="Times New Roman"/>
                      <w:color w:val="auto"/>
                      <w:kern w:val="2"/>
                      <w:sz w:val="21"/>
                      <w:szCs w:val="21"/>
                      <w:lang w:val="en-US" w:eastAsia="zh-CN" w:bidi="ar-SA"/>
                    </w:rPr>
                    <w:t>；检测废水经沉淀后用于洒水降尘；</w:t>
                  </w:r>
                  <w:r>
                    <w:rPr>
                      <w:rFonts w:hint="eastAsia" w:ascii="Times New Roman" w:hAnsi="Times New Roman" w:eastAsia="宋体" w:cs="Times New Roman"/>
                      <w:b w:val="0"/>
                      <w:bCs/>
                      <w:color w:val="auto"/>
                      <w:kern w:val="2"/>
                      <w:sz w:val="21"/>
                      <w:szCs w:val="21"/>
                      <w:lang w:val="en-US" w:eastAsia="zh-CN" w:bidi="ar-SA"/>
                    </w:rPr>
                    <w:t>车辆</w:t>
                  </w:r>
                  <w:r>
                    <w:rPr>
                      <w:rFonts w:hint="default" w:ascii="Times New Roman" w:hAnsi="Times New Roman" w:eastAsia="宋体" w:cs="Times New Roman"/>
                      <w:b w:val="0"/>
                      <w:bCs w:val="0"/>
                      <w:color w:val="auto"/>
                      <w:kern w:val="0"/>
                      <w:sz w:val="21"/>
                      <w:szCs w:val="21"/>
                      <w:lang w:eastAsia="zh-CN" w:bidi="ar"/>
                    </w:rPr>
                    <w:t>清洗废水</w:t>
                  </w:r>
                  <w:r>
                    <w:rPr>
                      <w:rFonts w:hint="eastAsia" w:ascii="Times New Roman" w:hAnsi="Times New Roman" w:eastAsia="宋体" w:cs="Times New Roman"/>
                      <w:b w:val="0"/>
                      <w:bCs w:val="0"/>
                      <w:color w:val="auto"/>
                      <w:kern w:val="0"/>
                      <w:sz w:val="21"/>
                      <w:szCs w:val="21"/>
                      <w:lang w:val="en-US" w:eastAsia="zh-CN" w:bidi="ar"/>
                    </w:rPr>
                    <w:t>经</w:t>
                  </w:r>
                  <w:r>
                    <w:rPr>
                      <w:rFonts w:hint="eastAsia" w:ascii="Times New Roman" w:hAnsi="Times New Roman" w:eastAsia="宋体" w:cs="Times New Roman"/>
                      <w:b w:val="0"/>
                      <w:bCs w:val="0"/>
                      <w:color w:val="auto"/>
                      <w:kern w:val="0"/>
                      <w:sz w:val="21"/>
                      <w:szCs w:val="21"/>
                      <w:lang w:eastAsia="zh-CN" w:bidi="ar"/>
                    </w:rPr>
                    <w:t>车辆清洗废水沉淀池</w:t>
                  </w:r>
                  <w:r>
                    <w:rPr>
                      <w:rFonts w:hint="eastAsia" w:ascii="Times New Roman" w:hAnsi="Times New Roman" w:eastAsia="宋体" w:cs="Times New Roman"/>
                      <w:b w:val="0"/>
                      <w:bCs w:val="0"/>
                      <w:color w:val="auto"/>
                      <w:kern w:val="0"/>
                      <w:sz w:val="21"/>
                      <w:szCs w:val="21"/>
                      <w:lang w:val="en-US" w:eastAsia="zh-CN" w:bidi="ar"/>
                    </w:rPr>
                    <w:t>处理后循环使用；</w:t>
                  </w:r>
                  <w:r>
                    <w:rPr>
                      <w:rFonts w:hint="eastAsia" w:ascii="Times New Roman" w:hAnsi="Times New Roman" w:cs="Times New Roman"/>
                      <w:color w:val="auto"/>
                      <w:kern w:val="2"/>
                      <w:sz w:val="21"/>
                      <w:szCs w:val="21"/>
                      <w:lang w:val="en-US" w:eastAsia="zh-CN" w:bidi="ar-SA"/>
                    </w:rPr>
                    <w:t>生活污水经化粪池处理后定期清掏用于农田施肥。</w:t>
                  </w:r>
                </w:p>
              </w:tc>
              <w:tc>
                <w:tcPr>
                  <w:tcW w:w="1495" w:type="pct"/>
                  <w:tcBorders>
                    <w:tl2br w:val="nil"/>
                    <w:tr2bl w:val="nil"/>
                  </w:tcBorders>
                  <w:shd w:val="clear" w:color="auto" w:fill="auto"/>
                  <w:noWrap w:val="0"/>
                  <w:vAlign w:val="center"/>
                </w:tcPr>
                <w:p w14:paraId="33BD08B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雨污分流</w:t>
                  </w:r>
                  <w:r>
                    <w:rPr>
                      <w:rFonts w:hint="eastAsia" w:ascii="Times New Roman" w:hAnsi="Times New Roman" w:cs="Times New Roman"/>
                      <w:color w:val="auto"/>
                      <w:kern w:val="2"/>
                      <w:sz w:val="21"/>
                      <w:szCs w:val="21"/>
                      <w:lang w:val="en-US" w:eastAsia="zh-CN" w:bidi="ar-SA"/>
                    </w:rPr>
                    <w:t>。所有生产工序均在密闭车间内，初期雨水经收集沉淀后通过厂区雨水排口外排</w:t>
                  </w:r>
                  <w:r>
                    <w:rPr>
                      <w:rFonts w:hint="default" w:ascii="Times New Roman" w:hAnsi="Times New Roman" w:cs="Times New Roman"/>
                      <w:color w:val="auto"/>
                      <w:kern w:val="2"/>
                      <w:sz w:val="21"/>
                      <w:szCs w:val="21"/>
                      <w:lang w:val="en-US" w:eastAsia="zh-CN" w:bidi="ar-SA"/>
                    </w:rPr>
                    <w:t>；检测废水经沉淀处理后用于洒水降尘；</w:t>
                  </w:r>
                  <w:r>
                    <w:rPr>
                      <w:rFonts w:hint="eastAsia" w:ascii="Times New Roman" w:hAnsi="Times New Roman" w:eastAsia="宋体" w:cs="Times New Roman"/>
                      <w:b w:val="0"/>
                      <w:bCs/>
                      <w:color w:val="auto"/>
                      <w:kern w:val="2"/>
                      <w:sz w:val="21"/>
                      <w:szCs w:val="21"/>
                      <w:lang w:val="en-US" w:eastAsia="zh-CN" w:bidi="ar-SA"/>
                    </w:rPr>
                    <w:t>所有原料和产品均为袋装，地面比较干净，运输车辆较少，轮胎携带的粉尘较少，无需设置车辆清洗平台</w:t>
                  </w:r>
                  <w:r>
                    <w:rPr>
                      <w:rFonts w:hint="eastAsia" w:ascii="Times New Roman" w:hAnsi="Times New Roman" w:eastAsia="宋体" w:cs="Times New Roman"/>
                      <w:b w:val="0"/>
                      <w:bCs w:val="0"/>
                      <w:color w:val="auto"/>
                      <w:kern w:val="0"/>
                      <w:sz w:val="21"/>
                      <w:szCs w:val="21"/>
                      <w:lang w:val="en-US" w:eastAsia="zh-CN" w:bidi="ar"/>
                    </w:rPr>
                    <w:t>；</w:t>
                  </w:r>
                  <w:r>
                    <w:rPr>
                      <w:rFonts w:hint="eastAsia" w:ascii="Times New Roman" w:hAnsi="Times New Roman" w:cs="Times New Roman"/>
                      <w:color w:val="auto"/>
                      <w:kern w:val="2"/>
                      <w:sz w:val="21"/>
                      <w:szCs w:val="21"/>
                      <w:lang w:val="en-US" w:eastAsia="zh-CN" w:bidi="ar-SA"/>
                    </w:rPr>
                    <w:t>生活污水经化粪池处理后定期清掏用于农田施肥。</w:t>
                  </w:r>
                </w:p>
              </w:tc>
              <w:tc>
                <w:tcPr>
                  <w:tcW w:w="676" w:type="pct"/>
                  <w:tcBorders>
                    <w:tl2br w:val="nil"/>
                    <w:tr2bl w:val="nil"/>
                  </w:tcBorders>
                  <w:noWrap w:val="0"/>
                  <w:vAlign w:val="center"/>
                </w:tcPr>
                <w:p w14:paraId="3C14106B">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cs="Times New Roman"/>
                      <w:szCs w:val="21"/>
                      <w:lang w:val="en-US" w:eastAsia="zh-CN"/>
                    </w:rPr>
                  </w:pPr>
                  <w:r>
                    <w:rPr>
                      <w:rFonts w:hint="eastAsia" w:ascii="Times New Roman" w:hAnsi="Times New Roman" w:cs="Times New Roman"/>
                      <w:color w:val="auto"/>
                      <w:kern w:val="2"/>
                      <w:sz w:val="21"/>
                      <w:szCs w:val="21"/>
                      <w:lang w:val="en-US" w:eastAsia="zh-CN" w:bidi="ar-SA"/>
                    </w:rPr>
                    <w:t>初期雨水经收集沉淀后通过厂区雨水排口外排；</w:t>
                  </w:r>
                  <w:r>
                    <w:rPr>
                      <w:rFonts w:hint="eastAsia" w:ascii="Times New Roman" w:hAnsi="Times New Roman" w:eastAsia="宋体" w:cs="Times New Roman"/>
                      <w:b w:val="0"/>
                      <w:bCs/>
                      <w:color w:val="auto"/>
                      <w:kern w:val="2"/>
                      <w:sz w:val="21"/>
                      <w:szCs w:val="21"/>
                      <w:lang w:val="en-US" w:eastAsia="zh-CN" w:bidi="ar-SA"/>
                    </w:rPr>
                    <w:t>无需设置车辆清洗平台</w:t>
                  </w:r>
                </w:p>
              </w:tc>
            </w:tr>
            <w:tr w14:paraId="5A3F3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85" w:type="pct"/>
                  <w:vMerge w:val="continue"/>
                  <w:tcBorders>
                    <w:tl2br w:val="nil"/>
                    <w:tr2bl w:val="nil"/>
                  </w:tcBorders>
                  <w:noWrap w:val="0"/>
                  <w:vAlign w:val="center"/>
                </w:tcPr>
                <w:p w14:paraId="2B6CA13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44"/>
                      <w:sz w:val="21"/>
                      <w:szCs w:val="20"/>
                      <w:lang w:val="zh-CN" w:eastAsia="zh-CN" w:bidi="zh-CN"/>
                    </w:rPr>
                  </w:pPr>
                </w:p>
              </w:tc>
              <w:tc>
                <w:tcPr>
                  <w:tcW w:w="920" w:type="pct"/>
                  <w:gridSpan w:val="2"/>
                  <w:tcBorders>
                    <w:tl2br w:val="nil"/>
                    <w:tr2bl w:val="nil"/>
                  </w:tcBorders>
                  <w:shd w:val="clear" w:color="auto" w:fill="auto"/>
                  <w:noWrap w:val="0"/>
                  <w:vAlign w:val="center"/>
                </w:tcPr>
                <w:p w14:paraId="3CEF49C3">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供电</w:t>
                  </w:r>
                </w:p>
              </w:tc>
              <w:tc>
                <w:tcPr>
                  <w:tcW w:w="1522" w:type="pct"/>
                  <w:tcBorders>
                    <w:tl2br w:val="nil"/>
                    <w:tr2bl w:val="nil"/>
                  </w:tcBorders>
                  <w:shd w:val="clear" w:color="auto" w:fill="auto"/>
                  <w:noWrap w:val="0"/>
                  <w:vAlign w:val="center"/>
                </w:tcPr>
                <w:p w14:paraId="5423C41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由市政供电系统供给</w:t>
                  </w:r>
                  <w:r>
                    <w:rPr>
                      <w:rFonts w:hint="eastAsia" w:ascii="Times New Roman" w:hAnsi="Times New Roman" w:eastAsia="宋体" w:cs="Times New Roman"/>
                      <w:color w:val="auto"/>
                      <w:kern w:val="0"/>
                      <w:sz w:val="21"/>
                      <w:szCs w:val="21"/>
                      <w:lang w:val="en-US" w:eastAsia="zh-CN"/>
                    </w:rPr>
                    <w:t>。</w:t>
                  </w:r>
                </w:p>
              </w:tc>
              <w:tc>
                <w:tcPr>
                  <w:tcW w:w="1495" w:type="pct"/>
                  <w:tcBorders>
                    <w:tl2br w:val="nil"/>
                    <w:tr2bl w:val="nil"/>
                  </w:tcBorders>
                  <w:shd w:val="clear" w:color="auto" w:fill="auto"/>
                  <w:noWrap w:val="0"/>
                  <w:vAlign w:val="center"/>
                </w:tcPr>
                <w:p w14:paraId="71ED464D">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由市政供电系统供给</w:t>
                  </w:r>
                  <w:r>
                    <w:rPr>
                      <w:rFonts w:hint="eastAsia" w:ascii="Times New Roman" w:hAnsi="Times New Roman" w:eastAsia="宋体" w:cs="Times New Roman"/>
                      <w:color w:val="auto"/>
                      <w:kern w:val="0"/>
                      <w:sz w:val="21"/>
                      <w:szCs w:val="21"/>
                      <w:lang w:val="en-US" w:eastAsia="zh-CN"/>
                    </w:rPr>
                    <w:t>。</w:t>
                  </w:r>
                </w:p>
              </w:tc>
              <w:tc>
                <w:tcPr>
                  <w:tcW w:w="676" w:type="pct"/>
                  <w:tcBorders>
                    <w:tl2br w:val="nil"/>
                    <w:tr2bl w:val="nil"/>
                  </w:tcBorders>
                  <w:noWrap w:val="0"/>
                  <w:vAlign w:val="center"/>
                </w:tcPr>
                <w:p w14:paraId="3D4F9992">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无变动</w:t>
                  </w:r>
                </w:p>
              </w:tc>
            </w:tr>
            <w:tr w14:paraId="69CBDC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385" w:type="pct"/>
                  <w:vMerge w:val="restart"/>
                  <w:tcBorders>
                    <w:tl2br w:val="nil"/>
                    <w:tr2bl w:val="nil"/>
                  </w:tcBorders>
                  <w:noWrap w:val="0"/>
                  <w:vAlign w:val="center"/>
                </w:tcPr>
                <w:p w14:paraId="0DBAA94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sz w:val="21"/>
                      <w:szCs w:val="21"/>
                    </w:rPr>
                  </w:pPr>
                  <w:r>
                    <w:rPr>
                      <w:rFonts w:hint="default" w:ascii="Times New Roman" w:hAnsi="Times New Roman" w:cs="Times New Roman"/>
                      <w:b/>
                      <w:bCs/>
                      <w:color w:val="auto"/>
                      <w:lang w:val="zh-CN" w:eastAsia="zh-CN"/>
                    </w:rPr>
                    <w:t>环保工程</w:t>
                  </w:r>
                </w:p>
              </w:tc>
              <w:tc>
                <w:tcPr>
                  <w:tcW w:w="265" w:type="pct"/>
                  <w:vMerge w:val="restart"/>
                  <w:tcBorders>
                    <w:tl2br w:val="nil"/>
                    <w:tr2bl w:val="nil"/>
                  </w:tcBorders>
                  <w:noWrap w:val="0"/>
                  <w:vAlign w:val="center"/>
                </w:tcPr>
                <w:p w14:paraId="7150D4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sz w:val="21"/>
                      <w:szCs w:val="21"/>
                      <w:vertAlign w:val="baseline"/>
                      <w:lang w:val="en-US" w:eastAsia="zh-CN"/>
                    </w:rPr>
                    <w:t>废气</w:t>
                  </w:r>
                </w:p>
              </w:tc>
              <w:tc>
                <w:tcPr>
                  <w:tcW w:w="654" w:type="pct"/>
                  <w:tcBorders>
                    <w:tl2br w:val="nil"/>
                    <w:tr2bl w:val="nil"/>
                  </w:tcBorders>
                  <w:shd w:val="clear" w:color="auto" w:fill="auto"/>
                  <w:noWrap w:val="0"/>
                  <w:vAlign w:val="center"/>
                </w:tcPr>
                <w:p w14:paraId="1E57405A">
                  <w:pPr>
                    <w:keepNext w:val="0"/>
                    <w:keepLines w:val="0"/>
                    <w:pageBreakBefore w:val="0"/>
                    <w:widowControl/>
                    <w:suppressLineNumbers w:val="0"/>
                    <w:kinsoku/>
                    <w:overflowPunct/>
                    <w:topLinePunct w:val="0"/>
                    <w:autoSpaceDE/>
                    <w:autoSpaceDN/>
                    <w:bidi w:val="0"/>
                    <w:spacing w:line="240" w:lineRule="auto"/>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装卸转运扬尘</w:t>
                  </w:r>
                </w:p>
              </w:tc>
              <w:tc>
                <w:tcPr>
                  <w:tcW w:w="1522" w:type="pct"/>
                  <w:tcBorders>
                    <w:tl2br w:val="nil"/>
                    <w:tr2bl w:val="nil"/>
                  </w:tcBorders>
                  <w:noWrap w:val="0"/>
                  <w:vAlign w:val="center"/>
                </w:tcPr>
                <w:p w14:paraId="5951ABF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洒水降尘，无组织排放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1495" w:type="pct"/>
                  <w:tcBorders>
                    <w:tl2br w:val="nil"/>
                    <w:tr2bl w:val="nil"/>
                  </w:tcBorders>
                  <w:shd w:val="clear" w:color="auto" w:fill="auto"/>
                  <w:noWrap w:val="0"/>
                  <w:vAlign w:val="center"/>
                </w:tcPr>
                <w:p w14:paraId="350AFB2D">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洒水降尘，无组织排放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676" w:type="pct"/>
                  <w:tcBorders>
                    <w:tl2br w:val="nil"/>
                    <w:tr2bl w:val="nil"/>
                  </w:tcBorders>
                  <w:noWrap w:val="0"/>
                  <w:vAlign w:val="center"/>
                </w:tcPr>
                <w:p w14:paraId="25948B5B">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Cs w:val="21"/>
                      <w:lang w:val="en-US" w:eastAsia="zh-CN"/>
                    </w:rPr>
                    <w:t>无变动</w:t>
                  </w:r>
                </w:p>
              </w:tc>
            </w:tr>
            <w:tr w14:paraId="1D6548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385" w:type="pct"/>
                  <w:vMerge w:val="continue"/>
                  <w:tcBorders>
                    <w:tl2br w:val="nil"/>
                    <w:tr2bl w:val="nil"/>
                  </w:tcBorders>
                  <w:noWrap w:val="0"/>
                  <w:vAlign w:val="center"/>
                </w:tcPr>
                <w:p w14:paraId="7A40B2D4">
                  <w:pPr>
                    <w:keepNext w:val="0"/>
                    <w:keepLines w:val="0"/>
                    <w:pageBreakBefore w:val="0"/>
                    <w:widowControl w:val="0"/>
                    <w:kinsoku/>
                    <w:wordWrap/>
                    <w:overflowPunct/>
                    <w:topLinePunct w:val="0"/>
                    <w:autoSpaceDE/>
                    <w:autoSpaceDN/>
                    <w:bidi w:val="0"/>
                    <w:adjustRightInd/>
                    <w:snapToGrid/>
                    <w:jc w:val="center"/>
                    <w:textAlignment w:val="auto"/>
                  </w:pPr>
                </w:p>
              </w:tc>
              <w:tc>
                <w:tcPr>
                  <w:tcW w:w="265" w:type="pct"/>
                  <w:vMerge w:val="continue"/>
                  <w:tcBorders>
                    <w:tl2br w:val="nil"/>
                    <w:tr2bl w:val="nil"/>
                  </w:tcBorders>
                  <w:noWrap w:val="0"/>
                  <w:vAlign w:val="center"/>
                </w:tcPr>
                <w:p w14:paraId="293B4F29">
                  <w:pPr>
                    <w:keepNext w:val="0"/>
                    <w:keepLines w:val="0"/>
                    <w:pageBreakBefore w:val="0"/>
                    <w:widowControl w:val="0"/>
                    <w:kinsoku/>
                    <w:wordWrap/>
                    <w:overflowPunct/>
                    <w:topLinePunct w:val="0"/>
                    <w:autoSpaceDE/>
                    <w:autoSpaceDN/>
                    <w:bidi w:val="0"/>
                    <w:adjustRightInd/>
                    <w:snapToGrid/>
                    <w:jc w:val="center"/>
                    <w:textAlignment w:val="auto"/>
                  </w:pPr>
                </w:p>
              </w:tc>
              <w:tc>
                <w:tcPr>
                  <w:tcW w:w="654" w:type="pct"/>
                  <w:tcBorders>
                    <w:tl2br w:val="nil"/>
                    <w:tr2bl w:val="nil"/>
                  </w:tcBorders>
                  <w:shd w:val="clear" w:color="auto" w:fill="auto"/>
                  <w:noWrap w:val="0"/>
                  <w:vAlign w:val="center"/>
                </w:tcPr>
                <w:p w14:paraId="31E4DB99">
                  <w:pPr>
                    <w:keepNext w:val="0"/>
                    <w:keepLines w:val="0"/>
                    <w:pageBreakBefore w:val="0"/>
                    <w:widowControl/>
                    <w:suppressLineNumbers w:val="0"/>
                    <w:kinsoku/>
                    <w:overflowPunct/>
                    <w:topLinePunct w:val="0"/>
                    <w:autoSpaceDE/>
                    <w:autoSpaceDN/>
                    <w:bidi w:val="0"/>
                    <w:spacing w:line="240" w:lineRule="auto"/>
                    <w:jc w:val="center"/>
                    <w:textAlignment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堆场</w:t>
                  </w:r>
                  <w:r>
                    <w:rPr>
                      <w:rFonts w:hint="default" w:ascii="Times New Roman" w:hAnsi="Times New Roman" w:eastAsia="宋体" w:cs="Times New Roman"/>
                      <w:i w:val="0"/>
                      <w:iCs w:val="0"/>
                      <w:color w:val="auto"/>
                      <w:kern w:val="0"/>
                      <w:sz w:val="21"/>
                      <w:szCs w:val="21"/>
                      <w:u w:val="none"/>
                      <w:lang w:val="en-US" w:eastAsia="zh-CN" w:bidi="ar"/>
                    </w:rPr>
                    <w:t>粉尘</w:t>
                  </w:r>
                </w:p>
              </w:tc>
              <w:tc>
                <w:tcPr>
                  <w:tcW w:w="1522" w:type="pct"/>
                  <w:tcBorders>
                    <w:tl2br w:val="nil"/>
                    <w:tr2bl w:val="nil"/>
                  </w:tcBorders>
                  <w:noWrap w:val="0"/>
                  <w:vAlign w:val="center"/>
                </w:tcPr>
                <w:p w14:paraId="7D825BEE">
                  <w:pPr>
                    <w:keepNext w:val="0"/>
                    <w:keepLines w:val="0"/>
                    <w:widowControl/>
                    <w:suppressLineNumbers w:val="0"/>
                    <w:jc w:val="center"/>
                    <w:textAlignment w:val="center"/>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洒水降尘，无组织排放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1495" w:type="pct"/>
                  <w:tcBorders>
                    <w:tl2br w:val="nil"/>
                    <w:tr2bl w:val="nil"/>
                  </w:tcBorders>
                  <w:shd w:val="clear" w:color="auto" w:fill="auto"/>
                  <w:noWrap w:val="0"/>
                  <w:vAlign w:val="center"/>
                </w:tcPr>
                <w:p w14:paraId="4ACDEBE5">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洒水降尘，无组织排放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676" w:type="pct"/>
                  <w:tcBorders>
                    <w:tl2br w:val="nil"/>
                    <w:tr2bl w:val="nil"/>
                  </w:tcBorders>
                  <w:noWrap w:val="0"/>
                  <w:vAlign w:val="center"/>
                </w:tcPr>
                <w:p w14:paraId="5F9F8E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cs="Times New Roman"/>
                      <w:szCs w:val="21"/>
                      <w:lang w:val="en-US" w:eastAsia="zh-CN"/>
                    </w:rPr>
                    <w:t>无变动</w:t>
                  </w:r>
                </w:p>
              </w:tc>
            </w:tr>
            <w:tr w14:paraId="4BACFA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5" w:type="pct"/>
                  <w:vMerge w:val="continue"/>
                  <w:tcBorders>
                    <w:tl2br w:val="nil"/>
                    <w:tr2bl w:val="nil"/>
                  </w:tcBorders>
                  <w:noWrap w:val="0"/>
                  <w:vAlign w:val="center"/>
                </w:tcPr>
                <w:p w14:paraId="2BE2696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p>
              </w:tc>
              <w:tc>
                <w:tcPr>
                  <w:tcW w:w="265" w:type="pct"/>
                  <w:vMerge w:val="continue"/>
                  <w:tcBorders>
                    <w:tl2br w:val="nil"/>
                    <w:tr2bl w:val="nil"/>
                  </w:tcBorders>
                  <w:noWrap w:val="0"/>
                  <w:vAlign w:val="center"/>
                </w:tcPr>
                <w:p w14:paraId="7B17F3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p>
              </w:tc>
              <w:tc>
                <w:tcPr>
                  <w:tcW w:w="654" w:type="pct"/>
                  <w:tcBorders>
                    <w:tl2br w:val="nil"/>
                    <w:tr2bl w:val="nil"/>
                  </w:tcBorders>
                  <w:shd w:val="clear" w:color="auto" w:fill="auto"/>
                  <w:noWrap w:val="0"/>
                  <w:vAlign w:val="center"/>
                </w:tcPr>
                <w:p w14:paraId="003E31DC">
                  <w:pPr>
                    <w:keepNext w:val="0"/>
                    <w:keepLines w:val="0"/>
                    <w:pageBreakBefore w:val="0"/>
                    <w:widowControl/>
                    <w:suppressLineNumbers w:val="0"/>
                    <w:kinsoku/>
                    <w:overflowPunct/>
                    <w:topLinePunct w:val="0"/>
                    <w:autoSpaceDE/>
                    <w:autoSpaceDN/>
                    <w:bidi w:val="0"/>
                    <w:spacing w:line="240" w:lineRule="auto"/>
                    <w:jc w:val="center"/>
                    <w:textAlignment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投料粉尘</w:t>
                  </w:r>
                </w:p>
              </w:tc>
              <w:tc>
                <w:tcPr>
                  <w:tcW w:w="1522" w:type="pct"/>
                  <w:vMerge w:val="restart"/>
                  <w:tcBorders>
                    <w:tl2br w:val="nil"/>
                    <w:tr2bl w:val="nil"/>
                  </w:tcBorders>
                  <w:noWrap w:val="0"/>
                  <w:vAlign w:val="center"/>
                </w:tcPr>
                <w:p w14:paraId="1BA0CBC6">
                  <w:pPr>
                    <w:keepNext w:val="0"/>
                    <w:keepLines w:val="0"/>
                    <w:widowControl/>
                    <w:suppressLineNumbers w:val="0"/>
                    <w:jc w:val="center"/>
                    <w:textAlignment w:val="center"/>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eastAsia="宋体" w:cs="Times New Roman"/>
                      <w:i w:val="0"/>
                      <w:iCs w:val="0"/>
                      <w:color w:val="auto"/>
                      <w:kern w:val="0"/>
                      <w:sz w:val="21"/>
                      <w:szCs w:val="21"/>
                      <w:u w:val="none"/>
                      <w:lang w:val="en-US" w:eastAsia="zh-CN" w:bidi="ar"/>
                    </w:rPr>
                    <w:t>收集+</w:t>
                  </w:r>
                  <w:r>
                    <w:rPr>
                      <w:rFonts w:hint="default" w:ascii="Times New Roman" w:hAnsi="Times New Roman" w:eastAsia="宋体" w:cs="Times New Roman"/>
                      <w:i w:val="0"/>
                      <w:iCs w:val="0"/>
                      <w:color w:val="auto"/>
                      <w:kern w:val="0"/>
                      <w:sz w:val="21"/>
                      <w:szCs w:val="21"/>
                      <w:u w:val="none"/>
                      <w:lang w:val="en-US" w:eastAsia="zh-CN" w:bidi="ar"/>
                    </w:rPr>
                    <w:t>脉冲除尘</w:t>
                  </w:r>
                  <w:r>
                    <w:rPr>
                      <w:rFonts w:hint="eastAsia" w:ascii="Times New Roman" w:hAnsi="Times New Roman" w:eastAsia="宋体" w:cs="Times New Roman"/>
                      <w:i w:val="0"/>
                      <w:iCs w:val="0"/>
                      <w:color w:val="auto"/>
                      <w:kern w:val="0"/>
                      <w:sz w:val="21"/>
                      <w:szCs w:val="21"/>
                      <w:u w:val="none"/>
                      <w:lang w:val="en-US" w:eastAsia="zh-CN" w:bidi="ar"/>
                    </w:rPr>
                    <w:t>+15m高排气筒外排。</w:t>
                  </w:r>
                </w:p>
              </w:tc>
              <w:tc>
                <w:tcPr>
                  <w:tcW w:w="1495" w:type="pct"/>
                  <w:vMerge w:val="restart"/>
                  <w:tcBorders>
                    <w:tl2br w:val="nil"/>
                    <w:tr2bl w:val="nil"/>
                  </w:tcBorders>
                  <w:shd w:val="clear" w:color="auto" w:fill="auto"/>
                  <w:noWrap w:val="0"/>
                  <w:vAlign w:val="center"/>
                </w:tcPr>
                <w:p w14:paraId="417C0405">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收集+</w:t>
                  </w:r>
                  <w:r>
                    <w:rPr>
                      <w:rFonts w:hint="default" w:ascii="Times New Roman" w:hAnsi="Times New Roman" w:eastAsia="宋体" w:cs="Times New Roman"/>
                      <w:i w:val="0"/>
                      <w:iCs w:val="0"/>
                      <w:color w:val="auto"/>
                      <w:kern w:val="0"/>
                      <w:sz w:val="21"/>
                      <w:szCs w:val="21"/>
                      <w:u w:val="none"/>
                      <w:lang w:val="en-US" w:eastAsia="zh-CN" w:bidi="ar"/>
                    </w:rPr>
                    <w:t>脉冲除尘</w:t>
                  </w:r>
                  <w:r>
                    <w:rPr>
                      <w:rFonts w:hint="eastAsia" w:ascii="Times New Roman" w:hAnsi="Times New Roman" w:eastAsia="宋体" w:cs="Times New Roman"/>
                      <w:i w:val="0"/>
                      <w:iCs w:val="0"/>
                      <w:color w:val="auto"/>
                      <w:kern w:val="0"/>
                      <w:sz w:val="21"/>
                      <w:szCs w:val="21"/>
                      <w:u w:val="none"/>
                      <w:lang w:val="en-US" w:eastAsia="zh-CN" w:bidi="ar"/>
                    </w:rPr>
                    <w:t>+15m高排气筒外排。</w:t>
                  </w:r>
                </w:p>
              </w:tc>
              <w:tc>
                <w:tcPr>
                  <w:tcW w:w="676" w:type="pct"/>
                  <w:vMerge w:val="restart"/>
                  <w:tcBorders>
                    <w:tl2br w:val="nil"/>
                    <w:tr2bl w:val="nil"/>
                  </w:tcBorders>
                  <w:noWrap w:val="0"/>
                  <w:vAlign w:val="center"/>
                </w:tcPr>
                <w:p w14:paraId="457E9A8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cs="Times New Roman"/>
                      <w:szCs w:val="21"/>
                      <w:lang w:val="en-US" w:eastAsia="zh-CN"/>
                    </w:rPr>
                    <w:t>无变动</w:t>
                  </w:r>
                </w:p>
              </w:tc>
            </w:tr>
            <w:tr w14:paraId="29864A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5" w:type="pct"/>
                  <w:vMerge w:val="continue"/>
                  <w:tcBorders>
                    <w:tl2br w:val="nil"/>
                    <w:tr2bl w:val="nil"/>
                  </w:tcBorders>
                  <w:noWrap w:val="0"/>
                  <w:vAlign w:val="center"/>
                </w:tcPr>
                <w:p w14:paraId="0F78DD5E">
                  <w:pPr>
                    <w:keepNext w:val="0"/>
                    <w:keepLines w:val="0"/>
                    <w:pageBreakBefore w:val="0"/>
                    <w:widowControl/>
                    <w:suppressLineNumbers w:val="0"/>
                    <w:kinsoku/>
                    <w:overflowPunct/>
                    <w:topLinePunct w:val="0"/>
                    <w:autoSpaceDE/>
                    <w:autoSpaceDN/>
                    <w:bidi w:val="0"/>
                    <w:spacing w:line="240" w:lineRule="auto"/>
                    <w:jc w:val="center"/>
                    <w:textAlignment w:val="center"/>
                  </w:pPr>
                </w:p>
              </w:tc>
              <w:tc>
                <w:tcPr>
                  <w:tcW w:w="265" w:type="pct"/>
                  <w:vMerge w:val="continue"/>
                  <w:tcBorders>
                    <w:tl2br w:val="nil"/>
                    <w:tr2bl w:val="nil"/>
                  </w:tcBorders>
                  <w:noWrap w:val="0"/>
                  <w:vAlign w:val="center"/>
                </w:tcPr>
                <w:p w14:paraId="486BEB03">
                  <w:pPr>
                    <w:keepNext w:val="0"/>
                    <w:keepLines w:val="0"/>
                    <w:pageBreakBefore w:val="0"/>
                    <w:widowControl/>
                    <w:suppressLineNumbers w:val="0"/>
                    <w:kinsoku/>
                    <w:overflowPunct/>
                    <w:topLinePunct w:val="0"/>
                    <w:autoSpaceDE/>
                    <w:autoSpaceDN/>
                    <w:bidi w:val="0"/>
                    <w:spacing w:line="240" w:lineRule="auto"/>
                    <w:jc w:val="center"/>
                    <w:textAlignment w:val="center"/>
                  </w:pPr>
                </w:p>
              </w:tc>
              <w:tc>
                <w:tcPr>
                  <w:tcW w:w="654" w:type="pct"/>
                  <w:tcBorders>
                    <w:tl2br w:val="nil"/>
                    <w:tr2bl w:val="nil"/>
                  </w:tcBorders>
                  <w:shd w:val="clear" w:color="auto" w:fill="auto"/>
                  <w:noWrap w:val="0"/>
                  <w:vAlign w:val="center"/>
                </w:tcPr>
                <w:p w14:paraId="40578925">
                  <w:pPr>
                    <w:keepNext w:val="0"/>
                    <w:keepLines w:val="0"/>
                    <w:pageBreakBefore w:val="0"/>
                    <w:widowControl/>
                    <w:suppressLineNumbers w:val="0"/>
                    <w:kinsoku/>
                    <w:overflowPunct/>
                    <w:topLinePunct w:val="0"/>
                    <w:autoSpaceDE/>
                    <w:autoSpaceDN/>
                    <w:bidi w:val="0"/>
                    <w:spacing w:line="240" w:lineRule="auto"/>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混合粉尘</w:t>
                  </w:r>
                </w:p>
              </w:tc>
              <w:tc>
                <w:tcPr>
                  <w:tcW w:w="1522" w:type="pct"/>
                  <w:vMerge w:val="continue"/>
                  <w:tcBorders>
                    <w:tl2br w:val="nil"/>
                    <w:tr2bl w:val="nil"/>
                  </w:tcBorders>
                  <w:noWrap w:val="0"/>
                  <w:vAlign w:val="center"/>
                </w:tcPr>
                <w:p w14:paraId="4BB03FD9">
                  <w:pPr>
                    <w:keepNext w:val="0"/>
                    <w:keepLines w:val="0"/>
                    <w:pageBreakBefore w:val="0"/>
                    <w:widowControl/>
                    <w:suppressLineNumbers w:val="0"/>
                    <w:kinsoku/>
                    <w:overflowPunct/>
                    <w:topLinePunct w:val="0"/>
                    <w:autoSpaceDE/>
                    <w:autoSpaceDN/>
                    <w:bidi w:val="0"/>
                    <w:spacing w:line="240" w:lineRule="auto"/>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1495" w:type="pct"/>
                  <w:vMerge w:val="continue"/>
                  <w:tcBorders>
                    <w:tl2br w:val="nil"/>
                    <w:tr2bl w:val="nil"/>
                  </w:tcBorders>
                  <w:shd w:val="clear" w:color="auto" w:fill="auto"/>
                  <w:noWrap w:val="0"/>
                  <w:vAlign w:val="center"/>
                </w:tcPr>
                <w:p w14:paraId="1B1FA2D4">
                  <w:pPr>
                    <w:keepNext w:val="0"/>
                    <w:keepLines w:val="0"/>
                    <w:pageBreakBefore w:val="0"/>
                    <w:widowControl/>
                    <w:suppressLineNumbers w:val="0"/>
                    <w:kinsoku/>
                    <w:overflowPunct/>
                    <w:topLinePunct w:val="0"/>
                    <w:autoSpaceDE/>
                    <w:autoSpaceDN/>
                    <w:bidi w:val="0"/>
                    <w:spacing w:line="240" w:lineRule="auto"/>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676" w:type="pct"/>
                  <w:vMerge w:val="continue"/>
                  <w:tcBorders>
                    <w:tl2br w:val="nil"/>
                    <w:tr2bl w:val="nil"/>
                  </w:tcBorders>
                  <w:noWrap w:val="0"/>
                  <w:vAlign w:val="center"/>
                </w:tcPr>
                <w:p w14:paraId="4725A0C3">
                  <w:pPr>
                    <w:keepNext w:val="0"/>
                    <w:keepLines w:val="0"/>
                    <w:pageBreakBefore w:val="0"/>
                    <w:widowControl/>
                    <w:suppressLineNumbers w:val="0"/>
                    <w:kinsoku/>
                    <w:overflowPunct/>
                    <w:topLinePunct w:val="0"/>
                    <w:autoSpaceDE/>
                    <w:autoSpaceDN/>
                    <w:bidi w:val="0"/>
                    <w:spacing w:line="240" w:lineRule="auto"/>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r>
            <w:tr w14:paraId="4FD7EE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385" w:type="pct"/>
                  <w:vMerge w:val="continue"/>
                  <w:tcBorders>
                    <w:tl2br w:val="nil"/>
                    <w:tr2bl w:val="nil"/>
                  </w:tcBorders>
                  <w:noWrap w:val="0"/>
                  <w:vAlign w:val="center"/>
                </w:tcPr>
                <w:p w14:paraId="1D5D79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p>
              </w:tc>
              <w:tc>
                <w:tcPr>
                  <w:tcW w:w="265" w:type="pct"/>
                  <w:vMerge w:val="continue"/>
                  <w:tcBorders>
                    <w:tl2br w:val="nil"/>
                    <w:tr2bl w:val="nil"/>
                  </w:tcBorders>
                  <w:noWrap w:val="0"/>
                  <w:vAlign w:val="center"/>
                </w:tcPr>
                <w:p w14:paraId="46D4DD7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p>
              </w:tc>
              <w:tc>
                <w:tcPr>
                  <w:tcW w:w="654" w:type="pct"/>
                  <w:tcBorders>
                    <w:tl2br w:val="nil"/>
                    <w:tr2bl w:val="nil"/>
                  </w:tcBorders>
                  <w:shd w:val="clear" w:color="auto" w:fill="auto"/>
                  <w:noWrap w:val="0"/>
                  <w:vAlign w:val="center"/>
                </w:tcPr>
                <w:p w14:paraId="29540424">
                  <w:pPr>
                    <w:keepNext w:val="0"/>
                    <w:keepLines w:val="0"/>
                    <w:pageBreakBefore w:val="0"/>
                    <w:widowControl/>
                    <w:suppressLineNumbers w:val="0"/>
                    <w:kinsoku/>
                    <w:overflowPunct/>
                    <w:topLinePunct w:val="0"/>
                    <w:autoSpaceDE/>
                    <w:autoSpaceDN/>
                    <w:bidi w:val="0"/>
                    <w:spacing w:line="240" w:lineRule="auto"/>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检测粉尘</w:t>
                  </w:r>
                </w:p>
              </w:tc>
              <w:tc>
                <w:tcPr>
                  <w:tcW w:w="1522" w:type="pct"/>
                  <w:tcBorders>
                    <w:tl2br w:val="nil"/>
                    <w:tr2bl w:val="nil"/>
                  </w:tcBorders>
                  <w:noWrap w:val="0"/>
                  <w:vAlign w:val="center"/>
                </w:tcPr>
                <w:p w14:paraId="188EAB69">
                  <w:pPr>
                    <w:keepNext w:val="0"/>
                    <w:keepLines w:val="0"/>
                    <w:widowControl/>
                    <w:suppressLineNumbers w:val="0"/>
                    <w:jc w:val="center"/>
                    <w:textAlignment w:val="center"/>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自然沉降后无组织排放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1495" w:type="pct"/>
                  <w:tcBorders>
                    <w:tl2br w:val="nil"/>
                    <w:tr2bl w:val="nil"/>
                  </w:tcBorders>
                  <w:shd w:val="clear" w:color="auto" w:fill="auto"/>
                  <w:noWrap w:val="0"/>
                  <w:vAlign w:val="center"/>
                </w:tcPr>
                <w:p w14:paraId="393B5B8D">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自然沉降后无组织排放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676" w:type="pct"/>
                  <w:tcBorders>
                    <w:tl2br w:val="nil"/>
                    <w:tr2bl w:val="nil"/>
                  </w:tcBorders>
                  <w:noWrap w:val="0"/>
                  <w:vAlign w:val="center"/>
                </w:tcPr>
                <w:p w14:paraId="367A50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cs="Times New Roman"/>
                      <w:szCs w:val="21"/>
                      <w:lang w:val="en-US" w:eastAsia="zh-CN"/>
                    </w:rPr>
                    <w:t>无变动</w:t>
                  </w:r>
                </w:p>
              </w:tc>
            </w:tr>
            <w:tr w14:paraId="4731F9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385" w:type="pct"/>
                  <w:vMerge w:val="continue"/>
                  <w:tcBorders>
                    <w:tl2br w:val="nil"/>
                    <w:tr2bl w:val="nil"/>
                  </w:tcBorders>
                  <w:noWrap w:val="0"/>
                  <w:vAlign w:val="center"/>
                </w:tcPr>
                <w:p w14:paraId="270F60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p>
              </w:tc>
              <w:tc>
                <w:tcPr>
                  <w:tcW w:w="265" w:type="pct"/>
                  <w:vMerge w:val="continue"/>
                  <w:tcBorders>
                    <w:tl2br w:val="nil"/>
                    <w:tr2bl w:val="nil"/>
                  </w:tcBorders>
                  <w:noWrap w:val="0"/>
                  <w:vAlign w:val="center"/>
                </w:tcPr>
                <w:p w14:paraId="1FFF07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p>
              </w:tc>
              <w:tc>
                <w:tcPr>
                  <w:tcW w:w="654" w:type="pct"/>
                  <w:tcBorders>
                    <w:tl2br w:val="nil"/>
                    <w:tr2bl w:val="nil"/>
                  </w:tcBorders>
                  <w:shd w:val="clear" w:color="auto" w:fill="auto"/>
                  <w:noWrap w:val="0"/>
                  <w:vAlign w:val="center"/>
                </w:tcPr>
                <w:p w14:paraId="7443BD1C">
                  <w:pPr>
                    <w:keepNext w:val="0"/>
                    <w:keepLines w:val="0"/>
                    <w:pageBreakBefore w:val="0"/>
                    <w:widowControl/>
                    <w:suppressLineNumbers w:val="0"/>
                    <w:kinsoku/>
                    <w:overflowPunct/>
                    <w:topLinePunct w:val="0"/>
                    <w:autoSpaceDE/>
                    <w:autoSpaceDN/>
                    <w:bidi w:val="0"/>
                    <w:spacing w:line="240" w:lineRule="auto"/>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包装粉尘</w:t>
                  </w:r>
                </w:p>
              </w:tc>
              <w:tc>
                <w:tcPr>
                  <w:tcW w:w="1522" w:type="pct"/>
                  <w:tcBorders>
                    <w:tl2br w:val="nil"/>
                    <w:tr2bl w:val="nil"/>
                  </w:tcBorders>
                  <w:noWrap w:val="0"/>
                  <w:vAlign w:val="center"/>
                </w:tcPr>
                <w:p w14:paraId="3B3B3595">
                  <w:pPr>
                    <w:keepNext w:val="0"/>
                    <w:keepLines w:val="0"/>
                    <w:widowControl/>
                    <w:suppressLineNumbers w:val="0"/>
                    <w:jc w:val="center"/>
                    <w:textAlignment w:val="center"/>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自然沉降后无组织排放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1495" w:type="pct"/>
                  <w:tcBorders>
                    <w:tl2br w:val="nil"/>
                    <w:tr2bl w:val="nil"/>
                  </w:tcBorders>
                  <w:shd w:val="clear" w:color="auto" w:fill="auto"/>
                  <w:noWrap w:val="0"/>
                  <w:vAlign w:val="center"/>
                </w:tcPr>
                <w:p w14:paraId="705CE5D0">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自然沉降后无组织排放</w:t>
                  </w:r>
                  <w:r>
                    <w:rPr>
                      <w:rFonts w:hint="eastAsia" w:ascii="Times New Roman" w:hAnsi="Times New Roman" w:eastAsia="宋体" w:cs="Times New Roman"/>
                      <w:i w:val="0"/>
                      <w:iCs w:val="0"/>
                      <w:color w:val="auto"/>
                      <w:kern w:val="0"/>
                      <w:sz w:val="21"/>
                      <w:szCs w:val="21"/>
                      <w:u w:val="none"/>
                      <w:lang w:val="en-US" w:eastAsia="zh-CN" w:bidi="ar"/>
                    </w:rPr>
                    <w:t>。</w:t>
                  </w:r>
                </w:p>
              </w:tc>
              <w:tc>
                <w:tcPr>
                  <w:tcW w:w="676" w:type="pct"/>
                  <w:tcBorders>
                    <w:tl2br w:val="nil"/>
                    <w:tr2bl w:val="nil"/>
                  </w:tcBorders>
                  <w:noWrap w:val="0"/>
                  <w:vAlign w:val="center"/>
                </w:tcPr>
                <w:p w14:paraId="751AB69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cs="Times New Roman"/>
                      <w:szCs w:val="21"/>
                      <w:lang w:val="en-US" w:eastAsia="zh-CN"/>
                    </w:rPr>
                    <w:t>无变动</w:t>
                  </w:r>
                </w:p>
              </w:tc>
            </w:tr>
            <w:tr w14:paraId="3569F3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85" w:type="pct"/>
                  <w:vMerge w:val="continue"/>
                  <w:tcBorders>
                    <w:tl2br w:val="nil"/>
                    <w:tr2bl w:val="nil"/>
                  </w:tcBorders>
                  <w:noWrap w:val="0"/>
                  <w:vAlign w:val="center"/>
                </w:tcPr>
                <w:p w14:paraId="4B231E2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sz w:val="21"/>
                      <w:szCs w:val="21"/>
                    </w:rPr>
                  </w:pPr>
                </w:p>
              </w:tc>
              <w:tc>
                <w:tcPr>
                  <w:tcW w:w="920" w:type="pct"/>
                  <w:gridSpan w:val="2"/>
                  <w:tcBorders>
                    <w:tl2br w:val="nil"/>
                    <w:tr2bl w:val="nil"/>
                  </w:tcBorders>
                  <w:noWrap w:val="0"/>
                  <w:vAlign w:val="center"/>
                </w:tcPr>
                <w:p w14:paraId="415628F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sz w:val="21"/>
                      <w:szCs w:val="21"/>
                      <w:vertAlign w:val="baseline"/>
                      <w:lang w:val="en-US" w:eastAsia="zh-CN"/>
                    </w:rPr>
                    <w:t>废水</w:t>
                  </w:r>
                </w:p>
              </w:tc>
              <w:tc>
                <w:tcPr>
                  <w:tcW w:w="1522" w:type="pct"/>
                  <w:tcBorders>
                    <w:tl2br w:val="nil"/>
                    <w:tr2bl w:val="nil"/>
                  </w:tcBorders>
                  <w:noWrap w:val="0"/>
                  <w:vAlign w:val="center"/>
                </w:tcPr>
                <w:p w14:paraId="4140922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sz w:val="21"/>
                      <w:szCs w:val="21"/>
                      <w:vertAlign w:val="baseline"/>
                      <w:lang w:val="en-US" w:eastAsia="zh-CN"/>
                    </w:rPr>
                    <w:t>初期雨水经初期雨水收集池沉淀后用于洒水降尘；检测废水经沉淀处理后用于洒水降尘；车辆清洗废水经车辆清洗废水沉淀池处理后循环使用；生活污水经化粪池处理后定期清掏用于农田施肥</w:t>
                  </w:r>
                  <w:r>
                    <w:rPr>
                      <w:rFonts w:hint="eastAsia" w:ascii="Times New Roman" w:hAnsi="Times New Roman" w:cs="Times New Roman"/>
                      <w:color w:val="000000"/>
                      <w:sz w:val="21"/>
                      <w:szCs w:val="21"/>
                      <w:vertAlign w:val="baseline"/>
                      <w:lang w:val="en-US" w:eastAsia="zh-CN"/>
                    </w:rPr>
                    <w:t>。</w:t>
                  </w:r>
                </w:p>
              </w:tc>
              <w:tc>
                <w:tcPr>
                  <w:tcW w:w="1495" w:type="pct"/>
                  <w:tcBorders>
                    <w:tl2br w:val="nil"/>
                    <w:tr2bl w:val="nil"/>
                  </w:tcBorders>
                  <w:shd w:val="clear" w:color="auto" w:fill="auto"/>
                  <w:noWrap w:val="0"/>
                  <w:vAlign w:val="center"/>
                </w:tcPr>
                <w:p w14:paraId="3CFDF2ED">
                  <w:pPr>
                    <w:keepNext w:val="0"/>
                    <w:keepLines w:val="0"/>
                    <w:pageBreakBefore w:val="0"/>
                    <w:widowControl w:val="0"/>
                    <w:kinsoku/>
                    <w:wordWrap/>
                    <w:overflowPunct/>
                    <w:topLinePunct w:val="0"/>
                    <w:autoSpaceDE/>
                    <w:autoSpaceDN/>
                    <w:bidi w:val="0"/>
                    <w:snapToGrid/>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color w:val="auto"/>
                      <w:kern w:val="2"/>
                      <w:sz w:val="21"/>
                      <w:szCs w:val="21"/>
                      <w:lang w:val="en-US" w:eastAsia="zh-CN" w:bidi="ar-SA"/>
                    </w:rPr>
                    <w:t>所有生产工序均在密闭车间内，未设置初期雨水收集池</w:t>
                  </w:r>
                  <w:r>
                    <w:rPr>
                      <w:rFonts w:hint="default" w:ascii="Times New Roman" w:hAnsi="Times New Roman" w:cs="Times New Roman"/>
                      <w:color w:val="auto"/>
                      <w:kern w:val="2"/>
                      <w:sz w:val="21"/>
                      <w:szCs w:val="21"/>
                      <w:lang w:val="en-US" w:eastAsia="zh-CN" w:bidi="ar-SA"/>
                    </w:rPr>
                    <w:t>；检测废水经沉淀处理后用于洒水降尘；</w:t>
                  </w:r>
                  <w:r>
                    <w:rPr>
                      <w:rFonts w:hint="eastAsia" w:ascii="Times New Roman" w:hAnsi="Times New Roman" w:eastAsia="宋体" w:cs="Times New Roman"/>
                      <w:b w:val="0"/>
                      <w:bCs/>
                      <w:color w:val="auto"/>
                      <w:kern w:val="2"/>
                      <w:sz w:val="21"/>
                      <w:szCs w:val="21"/>
                      <w:lang w:val="en-US" w:eastAsia="zh-CN" w:bidi="ar-SA"/>
                    </w:rPr>
                    <w:t>所有原料和产品均为袋装，地面比较干净，</w:t>
                  </w:r>
                  <w:r>
                    <w:rPr>
                      <w:rFonts w:hint="eastAsia" w:ascii="Times New Roman" w:hAnsi="Times New Roman" w:cs="Times New Roman"/>
                      <w:b w:val="0"/>
                      <w:bCs/>
                      <w:color w:val="auto"/>
                      <w:kern w:val="2"/>
                      <w:sz w:val="21"/>
                      <w:szCs w:val="21"/>
                      <w:lang w:val="en-US" w:eastAsia="zh-CN" w:bidi="ar-SA"/>
                    </w:rPr>
                    <w:t>运输车辆轮胎携带的粉尘较少</w:t>
                  </w:r>
                  <w:r>
                    <w:rPr>
                      <w:rFonts w:hint="eastAsia" w:ascii="Times New Roman" w:hAnsi="Times New Roman" w:eastAsia="宋体" w:cs="Times New Roman"/>
                      <w:b w:val="0"/>
                      <w:bCs/>
                      <w:color w:val="auto"/>
                      <w:kern w:val="2"/>
                      <w:sz w:val="21"/>
                      <w:szCs w:val="21"/>
                      <w:lang w:val="en-US" w:eastAsia="zh-CN" w:bidi="ar-SA"/>
                    </w:rPr>
                    <w:t>，未设置车辆清洗</w:t>
                  </w:r>
                  <w:r>
                    <w:rPr>
                      <w:rFonts w:hint="eastAsia" w:ascii="Times New Roman" w:hAnsi="Times New Roman" w:cs="Times New Roman"/>
                      <w:b w:val="0"/>
                      <w:bCs/>
                      <w:color w:val="auto"/>
                      <w:kern w:val="2"/>
                      <w:sz w:val="21"/>
                      <w:szCs w:val="21"/>
                      <w:lang w:val="en-US" w:eastAsia="zh-CN" w:bidi="ar-SA"/>
                    </w:rPr>
                    <w:t>平台</w:t>
                  </w:r>
                  <w:r>
                    <w:rPr>
                      <w:rFonts w:hint="eastAsia" w:ascii="Times New Roman" w:hAnsi="Times New Roman" w:eastAsia="宋体" w:cs="Times New Roman"/>
                      <w:b w:val="0"/>
                      <w:bCs w:val="0"/>
                      <w:color w:val="auto"/>
                      <w:kern w:val="0"/>
                      <w:sz w:val="21"/>
                      <w:szCs w:val="21"/>
                      <w:lang w:val="en-US" w:eastAsia="zh-CN" w:bidi="ar"/>
                    </w:rPr>
                    <w:t>；</w:t>
                  </w:r>
                  <w:r>
                    <w:rPr>
                      <w:rFonts w:hint="eastAsia" w:ascii="Times New Roman" w:hAnsi="Times New Roman" w:cs="Times New Roman"/>
                      <w:color w:val="auto"/>
                      <w:kern w:val="2"/>
                      <w:sz w:val="21"/>
                      <w:szCs w:val="21"/>
                      <w:lang w:val="en-US" w:eastAsia="zh-CN" w:bidi="ar-SA"/>
                    </w:rPr>
                    <w:t>生活污水经化粪池处理后定期清掏用于农田施肥</w:t>
                  </w:r>
                  <w:r>
                    <w:rPr>
                      <w:rFonts w:hint="eastAsia" w:ascii="Times New Roman" w:hAnsi="Times New Roman" w:eastAsia="宋体" w:cs="Times New Roman"/>
                      <w:color w:val="000000"/>
                      <w:sz w:val="21"/>
                      <w:szCs w:val="21"/>
                      <w:vertAlign w:val="baseline"/>
                      <w:lang w:val="en-US" w:eastAsia="zh-CN"/>
                    </w:rPr>
                    <w:t>。</w:t>
                  </w:r>
                </w:p>
              </w:tc>
              <w:tc>
                <w:tcPr>
                  <w:tcW w:w="676" w:type="pct"/>
                  <w:tcBorders>
                    <w:tl2br w:val="nil"/>
                    <w:tr2bl w:val="nil"/>
                  </w:tcBorders>
                  <w:noWrap w:val="0"/>
                  <w:vAlign w:val="center"/>
                </w:tcPr>
                <w:p w14:paraId="6A2A95F4">
                  <w:pPr>
                    <w:keepNext w:val="0"/>
                    <w:keepLines w:val="0"/>
                    <w:pageBreakBefore w:val="0"/>
                    <w:widowControl w:val="0"/>
                    <w:kinsoku/>
                    <w:wordWrap/>
                    <w:overflowPunct/>
                    <w:topLinePunct w:val="0"/>
                    <w:autoSpaceDE/>
                    <w:autoSpaceDN/>
                    <w:bidi w:val="0"/>
                    <w:snapToGrid/>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color w:val="auto"/>
                      <w:kern w:val="2"/>
                      <w:sz w:val="21"/>
                      <w:szCs w:val="21"/>
                      <w:lang w:val="en-US" w:eastAsia="zh-CN" w:bidi="ar-SA"/>
                    </w:rPr>
                    <w:t>初期雨水经收集沉淀后通过厂区雨水排口外排；</w:t>
                  </w:r>
                  <w:r>
                    <w:rPr>
                      <w:rFonts w:hint="eastAsia" w:ascii="Times New Roman" w:hAnsi="Times New Roman" w:eastAsia="宋体" w:cs="Times New Roman"/>
                      <w:b w:val="0"/>
                      <w:bCs/>
                      <w:color w:val="auto"/>
                      <w:kern w:val="2"/>
                      <w:sz w:val="21"/>
                      <w:szCs w:val="21"/>
                      <w:lang w:val="en-US" w:eastAsia="zh-CN" w:bidi="ar-SA"/>
                    </w:rPr>
                    <w:t>无需设置车辆清洗平台</w:t>
                  </w:r>
                </w:p>
              </w:tc>
            </w:tr>
            <w:tr w14:paraId="1F965B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85" w:type="pct"/>
                  <w:vMerge w:val="continue"/>
                  <w:tcBorders>
                    <w:tl2br w:val="nil"/>
                    <w:tr2bl w:val="nil"/>
                  </w:tcBorders>
                  <w:noWrap w:val="0"/>
                  <w:vAlign w:val="center"/>
                </w:tcPr>
                <w:p w14:paraId="4428FB5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sz w:val="21"/>
                      <w:szCs w:val="21"/>
                    </w:rPr>
                  </w:pPr>
                </w:p>
              </w:tc>
              <w:tc>
                <w:tcPr>
                  <w:tcW w:w="920" w:type="pct"/>
                  <w:gridSpan w:val="2"/>
                  <w:tcBorders>
                    <w:tl2br w:val="nil"/>
                    <w:tr2bl w:val="nil"/>
                  </w:tcBorders>
                  <w:noWrap w:val="0"/>
                  <w:vAlign w:val="center"/>
                </w:tcPr>
                <w:p w14:paraId="20D414E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sz w:val="21"/>
                      <w:szCs w:val="21"/>
                      <w:vertAlign w:val="baseline"/>
                      <w:lang w:val="en-US" w:eastAsia="zh-CN"/>
                    </w:rPr>
                    <w:t>噪声</w:t>
                  </w:r>
                </w:p>
              </w:tc>
              <w:tc>
                <w:tcPr>
                  <w:tcW w:w="1522" w:type="pct"/>
                  <w:tcBorders>
                    <w:tl2br w:val="nil"/>
                    <w:tr2bl w:val="nil"/>
                  </w:tcBorders>
                  <w:noWrap w:val="0"/>
                  <w:vAlign w:val="center"/>
                </w:tcPr>
                <w:p w14:paraId="04FD9447">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厂房隔声，设备减振，选用低噪声设备等。</w:t>
                  </w:r>
                </w:p>
              </w:tc>
              <w:tc>
                <w:tcPr>
                  <w:tcW w:w="1495" w:type="pct"/>
                  <w:tcBorders>
                    <w:tl2br w:val="nil"/>
                    <w:tr2bl w:val="nil"/>
                  </w:tcBorders>
                  <w:shd w:val="clear" w:color="auto" w:fill="auto"/>
                  <w:noWrap w:val="0"/>
                  <w:vAlign w:val="center"/>
                </w:tcPr>
                <w:p w14:paraId="63CF09C2">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厂房隔声，设备减振，选用低噪声设备等。</w:t>
                  </w:r>
                </w:p>
              </w:tc>
              <w:tc>
                <w:tcPr>
                  <w:tcW w:w="676" w:type="pct"/>
                  <w:tcBorders>
                    <w:tl2br w:val="nil"/>
                    <w:tr2bl w:val="nil"/>
                  </w:tcBorders>
                  <w:noWrap w:val="0"/>
                  <w:vAlign w:val="center"/>
                </w:tcPr>
                <w:p w14:paraId="217C1EAC">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无变动</w:t>
                  </w:r>
                </w:p>
              </w:tc>
            </w:tr>
            <w:tr w14:paraId="291614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385" w:type="pct"/>
                  <w:vMerge w:val="continue"/>
                  <w:tcBorders>
                    <w:tl2br w:val="nil"/>
                    <w:tr2bl w:val="nil"/>
                  </w:tcBorders>
                  <w:noWrap w:val="0"/>
                  <w:vAlign w:val="center"/>
                </w:tcPr>
                <w:p w14:paraId="0AD0AB5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sz w:val="21"/>
                      <w:szCs w:val="21"/>
                    </w:rPr>
                  </w:pPr>
                </w:p>
              </w:tc>
              <w:tc>
                <w:tcPr>
                  <w:tcW w:w="920" w:type="pct"/>
                  <w:gridSpan w:val="2"/>
                  <w:tcBorders>
                    <w:tl2br w:val="nil"/>
                    <w:tr2bl w:val="nil"/>
                  </w:tcBorders>
                  <w:noWrap w:val="0"/>
                  <w:vAlign w:val="center"/>
                </w:tcPr>
                <w:p w14:paraId="726215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000000"/>
                      <w:sz w:val="21"/>
                      <w:szCs w:val="21"/>
                      <w:vertAlign w:val="baseline"/>
                      <w:lang w:val="en-US" w:eastAsia="zh-CN"/>
                    </w:rPr>
                    <w:t>固体废物</w:t>
                  </w:r>
                </w:p>
              </w:tc>
              <w:tc>
                <w:tcPr>
                  <w:tcW w:w="1522" w:type="pct"/>
                  <w:tcBorders>
                    <w:tl2br w:val="nil"/>
                    <w:tr2bl w:val="nil"/>
                  </w:tcBorders>
                  <w:noWrap w:val="0"/>
                  <w:vAlign w:val="center"/>
                </w:tcPr>
                <w:p w14:paraId="05AD19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sz w:val="21"/>
                      <w:szCs w:val="21"/>
                      <w:vertAlign w:val="baseline"/>
                      <w:lang w:val="en-US" w:eastAsia="zh-CN"/>
                    </w:rPr>
                    <w:t>一般固废暂存区（50m</w:t>
                  </w:r>
                  <w:r>
                    <w:rPr>
                      <w:rFonts w:hint="default" w:ascii="Times New Roman" w:hAnsi="Times New Roman" w:eastAsia="宋体" w:cs="Times New Roman"/>
                      <w:color w:val="000000"/>
                      <w:sz w:val="21"/>
                      <w:szCs w:val="21"/>
                      <w:vertAlign w:val="superscript"/>
                      <w:lang w:val="en-US" w:eastAsia="zh-CN"/>
                    </w:rPr>
                    <w:t>2</w:t>
                  </w:r>
                  <w:r>
                    <w:rPr>
                      <w:rFonts w:hint="default" w:ascii="Times New Roman" w:hAnsi="Times New Roman" w:eastAsia="宋体" w:cs="Times New Roman"/>
                      <w:color w:val="000000"/>
                      <w:sz w:val="21"/>
                      <w:szCs w:val="21"/>
                      <w:vertAlign w:val="baseline"/>
                      <w:lang w:val="en-US" w:eastAsia="zh-CN"/>
                    </w:rPr>
                    <w:t>）。</w:t>
                  </w:r>
                </w:p>
              </w:tc>
              <w:tc>
                <w:tcPr>
                  <w:tcW w:w="1495" w:type="pct"/>
                  <w:tcBorders>
                    <w:tl2br w:val="nil"/>
                    <w:tr2bl w:val="nil"/>
                  </w:tcBorders>
                  <w:shd w:val="clear" w:color="auto" w:fill="auto"/>
                  <w:noWrap w:val="0"/>
                  <w:vAlign w:val="center"/>
                </w:tcPr>
                <w:p w14:paraId="76F00411">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sz w:val="21"/>
                      <w:szCs w:val="21"/>
                      <w:vertAlign w:val="baseline"/>
                      <w:lang w:val="en-US" w:eastAsia="zh-CN"/>
                    </w:rPr>
                    <w:t>一般固废暂存区（</w:t>
                  </w:r>
                  <w:r>
                    <w:rPr>
                      <w:rFonts w:hint="eastAsia" w:ascii="Times New Roman" w:hAnsi="Times New Roman" w:cs="Times New Roman"/>
                      <w:color w:val="000000"/>
                      <w:sz w:val="21"/>
                      <w:szCs w:val="21"/>
                      <w:vertAlign w:val="baseline"/>
                      <w:lang w:val="en-US" w:eastAsia="zh-CN"/>
                    </w:rPr>
                    <w:t>25</w:t>
                  </w:r>
                  <w:r>
                    <w:rPr>
                      <w:rFonts w:hint="default" w:ascii="Times New Roman" w:hAnsi="Times New Roman" w:eastAsia="宋体" w:cs="Times New Roman"/>
                      <w:color w:val="000000"/>
                      <w:sz w:val="21"/>
                      <w:szCs w:val="21"/>
                      <w:vertAlign w:val="baseline"/>
                      <w:lang w:val="en-US" w:eastAsia="zh-CN"/>
                    </w:rPr>
                    <w:t>m</w:t>
                  </w:r>
                  <w:r>
                    <w:rPr>
                      <w:rFonts w:hint="default" w:ascii="Times New Roman" w:hAnsi="Times New Roman" w:eastAsia="宋体" w:cs="Times New Roman"/>
                      <w:color w:val="000000"/>
                      <w:sz w:val="21"/>
                      <w:szCs w:val="21"/>
                      <w:vertAlign w:val="superscript"/>
                      <w:lang w:val="en-US" w:eastAsia="zh-CN"/>
                    </w:rPr>
                    <w:t>2</w:t>
                  </w:r>
                  <w:r>
                    <w:rPr>
                      <w:rFonts w:hint="default" w:ascii="Times New Roman" w:hAnsi="Times New Roman" w:eastAsia="宋体" w:cs="Times New Roman"/>
                      <w:color w:val="000000"/>
                      <w:sz w:val="21"/>
                      <w:szCs w:val="21"/>
                      <w:vertAlign w:val="baseline"/>
                      <w:lang w:val="en-US" w:eastAsia="zh-CN"/>
                    </w:rPr>
                    <w:t>）。</w:t>
                  </w:r>
                </w:p>
              </w:tc>
              <w:tc>
                <w:tcPr>
                  <w:tcW w:w="676" w:type="pct"/>
                  <w:tcBorders>
                    <w:tl2br w:val="nil"/>
                    <w:tr2bl w:val="nil"/>
                  </w:tcBorders>
                  <w:noWrap w:val="0"/>
                  <w:vAlign w:val="center"/>
                </w:tcPr>
                <w:p w14:paraId="4D051BA5">
                  <w:pPr>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面积有所调整</w:t>
                  </w:r>
                </w:p>
              </w:tc>
            </w:tr>
          </w:tbl>
          <w:p w14:paraId="0C00DB72">
            <w:pPr>
              <w:keepNext w:val="0"/>
              <w:keepLines w:val="0"/>
              <w:pageBreakBefore w:val="0"/>
              <w:tabs>
                <w:tab w:val="left" w:pos="1166"/>
              </w:tabs>
              <w:kinsoku/>
              <w:wordWrap/>
              <w:overflowPunct/>
              <w:topLinePunct w:val="0"/>
              <w:bidi w:val="0"/>
              <w:adjustRightInd w:val="0"/>
              <w:snapToGrid w:val="0"/>
              <w:spacing w:line="240" w:lineRule="auto"/>
              <w:jc w:val="center"/>
              <w:textAlignment w:val="auto"/>
              <w:rPr>
                <w:rFonts w:hint="default" w:ascii="Times New Roman" w:hAnsi="Times New Roman" w:cs="Times New Roman"/>
                <w:b/>
                <w:bCs/>
                <w:color w:val="auto"/>
                <w:sz w:val="21"/>
                <w:szCs w:val="21"/>
              </w:rPr>
            </w:pPr>
          </w:p>
          <w:p w14:paraId="26E8410B">
            <w:pPr>
              <w:keepNext w:val="0"/>
              <w:keepLines w:val="0"/>
              <w:pageBreakBefore w:val="0"/>
              <w:tabs>
                <w:tab w:val="left" w:pos="1166"/>
              </w:tabs>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2-2</w:t>
            </w:r>
            <w:r>
              <w:rPr>
                <w:rFonts w:hint="default" w:ascii="Times New Roman" w:hAnsi="Times New Roman" w:cs="Times New Roman"/>
                <w:b/>
                <w:bCs/>
                <w:color w:val="auto"/>
                <w:sz w:val="21"/>
                <w:szCs w:val="21"/>
              </w:rPr>
              <w:t xml:space="preserve"> 主要设备与实际</w:t>
            </w:r>
            <w:r>
              <w:rPr>
                <w:rFonts w:hint="eastAsia" w:ascii="Times New Roman" w:hAnsi="Times New Roman" w:cs="Times New Roman"/>
                <w:b/>
                <w:bCs/>
                <w:color w:val="auto"/>
                <w:sz w:val="21"/>
                <w:szCs w:val="21"/>
                <w:lang w:eastAsia="zh-CN"/>
              </w:rPr>
              <w:t>情况</w:t>
            </w:r>
            <w:r>
              <w:rPr>
                <w:rFonts w:hint="default" w:ascii="Times New Roman" w:hAnsi="Times New Roman" w:cs="Times New Roman"/>
                <w:b/>
                <w:bCs/>
                <w:color w:val="auto"/>
                <w:sz w:val="21"/>
                <w:szCs w:val="21"/>
              </w:rPr>
              <w:t>对照表</w:t>
            </w:r>
          </w:p>
          <w:tbl>
            <w:tblPr>
              <w:tblStyle w:val="74"/>
              <w:tblW w:w="836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58"/>
              <w:gridCol w:w="1575"/>
              <w:gridCol w:w="1065"/>
              <w:gridCol w:w="660"/>
              <w:gridCol w:w="915"/>
              <w:gridCol w:w="1035"/>
              <w:gridCol w:w="2460"/>
            </w:tblGrid>
            <w:tr w14:paraId="65049D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93" w:type="pct"/>
                  <w:tcBorders>
                    <w:tl2br w:val="nil"/>
                    <w:tr2bl w:val="nil"/>
                  </w:tcBorders>
                  <w:vAlign w:val="center"/>
                </w:tcPr>
                <w:p w14:paraId="5FEB226B">
                  <w:pPr>
                    <w:pStyle w:val="73"/>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bCs/>
                      <w:color w:val="000000"/>
                      <w:spacing w:val="0"/>
                      <w:w w:val="100"/>
                      <w:kern w:val="2"/>
                      <w:sz w:val="21"/>
                      <w:szCs w:val="21"/>
                      <w:highlight w:val="none"/>
                      <w:lang w:val="en-US" w:eastAsia="zh-CN" w:bidi="zh-CN"/>
                    </w:rPr>
                  </w:pPr>
                  <w:r>
                    <w:rPr>
                      <w:rFonts w:hint="default" w:ascii="Times New Roman" w:hAnsi="Times New Roman" w:eastAsia="宋体" w:cs="Times New Roman"/>
                      <w:b/>
                      <w:bCs/>
                      <w:color w:val="000000"/>
                      <w:spacing w:val="0"/>
                      <w:w w:val="100"/>
                      <w:kern w:val="2"/>
                      <w:sz w:val="21"/>
                      <w:szCs w:val="21"/>
                      <w:highlight w:val="none"/>
                      <w:lang w:val="en-US" w:eastAsia="zh-CN" w:bidi="zh-CN"/>
                    </w:rPr>
                    <w:t>序号</w:t>
                  </w:r>
                </w:p>
              </w:tc>
              <w:tc>
                <w:tcPr>
                  <w:tcW w:w="941" w:type="pct"/>
                  <w:tcBorders>
                    <w:tl2br w:val="nil"/>
                    <w:tr2bl w:val="nil"/>
                  </w:tcBorders>
                  <w:vAlign w:val="center"/>
                </w:tcPr>
                <w:p w14:paraId="5968D184">
                  <w:pPr>
                    <w:pStyle w:val="73"/>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bCs/>
                      <w:color w:val="000000"/>
                      <w:spacing w:val="0"/>
                      <w:w w:val="100"/>
                      <w:kern w:val="2"/>
                      <w:sz w:val="21"/>
                      <w:szCs w:val="21"/>
                      <w:highlight w:val="none"/>
                      <w:lang w:val="en-US" w:eastAsia="zh-CN" w:bidi="zh-CN"/>
                    </w:rPr>
                  </w:pPr>
                  <w:r>
                    <w:rPr>
                      <w:rFonts w:hint="default" w:ascii="Times New Roman" w:hAnsi="Times New Roman" w:eastAsia="宋体" w:cs="Times New Roman"/>
                      <w:b/>
                      <w:bCs/>
                      <w:color w:val="000000"/>
                      <w:spacing w:val="0"/>
                      <w:w w:val="100"/>
                      <w:kern w:val="2"/>
                      <w:sz w:val="21"/>
                      <w:szCs w:val="21"/>
                      <w:highlight w:val="none"/>
                      <w:lang w:val="en-US" w:eastAsia="zh-CN" w:bidi="zh-CN"/>
                    </w:rPr>
                    <w:t>设备名称</w:t>
                  </w:r>
                </w:p>
              </w:tc>
              <w:tc>
                <w:tcPr>
                  <w:tcW w:w="636" w:type="pct"/>
                  <w:tcBorders>
                    <w:tl2br w:val="nil"/>
                    <w:tr2bl w:val="nil"/>
                  </w:tcBorders>
                  <w:vAlign w:val="center"/>
                </w:tcPr>
                <w:p w14:paraId="405DA3C6">
                  <w:pPr>
                    <w:pStyle w:val="73"/>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bCs/>
                      <w:color w:val="000000"/>
                      <w:spacing w:val="0"/>
                      <w:w w:val="100"/>
                      <w:kern w:val="2"/>
                      <w:sz w:val="21"/>
                      <w:szCs w:val="21"/>
                      <w:highlight w:val="none"/>
                      <w:lang w:val="en-US" w:eastAsia="zh-CN" w:bidi="zh-CN"/>
                    </w:rPr>
                  </w:pPr>
                  <w:r>
                    <w:rPr>
                      <w:rFonts w:hint="eastAsia" w:ascii="Times New Roman" w:hAnsi="Times New Roman" w:cs="Times New Roman"/>
                      <w:b/>
                      <w:bCs/>
                      <w:color w:val="000000"/>
                      <w:spacing w:val="0"/>
                      <w:w w:val="100"/>
                      <w:kern w:val="2"/>
                      <w:sz w:val="21"/>
                      <w:szCs w:val="21"/>
                      <w:highlight w:val="none"/>
                      <w:lang w:val="en-US" w:eastAsia="zh-CN" w:bidi="zh-CN"/>
                    </w:rPr>
                    <w:t>型号规格</w:t>
                  </w:r>
                </w:p>
              </w:tc>
              <w:tc>
                <w:tcPr>
                  <w:tcW w:w="394" w:type="pct"/>
                  <w:tcBorders>
                    <w:tl2br w:val="nil"/>
                    <w:tr2bl w:val="nil"/>
                  </w:tcBorders>
                  <w:vAlign w:val="center"/>
                </w:tcPr>
                <w:p w14:paraId="2284B249">
                  <w:pPr>
                    <w:pStyle w:val="73"/>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b/>
                      <w:bCs/>
                      <w:color w:val="000000"/>
                      <w:spacing w:val="0"/>
                      <w:w w:val="100"/>
                      <w:kern w:val="2"/>
                      <w:sz w:val="21"/>
                      <w:szCs w:val="21"/>
                      <w:highlight w:val="none"/>
                      <w:lang w:val="en-US" w:eastAsia="zh-CN" w:bidi="zh-CN"/>
                    </w:rPr>
                  </w:pPr>
                  <w:r>
                    <w:rPr>
                      <w:rFonts w:hint="eastAsia" w:ascii="Times New Roman" w:hAnsi="Times New Roman" w:cs="Times New Roman"/>
                      <w:b/>
                      <w:bCs/>
                      <w:color w:val="000000"/>
                      <w:spacing w:val="0"/>
                      <w:w w:val="100"/>
                      <w:kern w:val="2"/>
                      <w:sz w:val="21"/>
                      <w:szCs w:val="21"/>
                      <w:highlight w:val="none"/>
                      <w:lang w:val="en-US" w:eastAsia="zh-CN" w:bidi="zh-CN"/>
                    </w:rPr>
                    <w:t>单位</w:t>
                  </w:r>
                </w:p>
              </w:tc>
              <w:tc>
                <w:tcPr>
                  <w:tcW w:w="546" w:type="pct"/>
                  <w:tcBorders>
                    <w:tl2br w:val="nil"/>
                    <w:tr2bl w:val="nil"/>
                  </w:tcBorders>
                  <w:vAlign w:val="center"/>
                </w:tcPr>
                <w:p w14:paraId="38F253B2">
                  <w:pPr>
                    <w:pStyle w:val="73"/>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bCs/>
                      <w:color w:val="000000"/>
                      <w:spacing w:val="0"/>
                      <w:w w:val="100"/>
                      <w:kern w:val="2"/>
                      <w:sz w:val="21"/>
                      <w:szCs w:val="21"/>
                      <w:highlight w:val="none"/>
                      <w:lang w:val="en-US" w:eastAsia="zh-CN" w:bidi="zh-CN"/>
                    </w:rPr>
                  </w:pPr>
                  <w:r>
                    <w:rPr>
                      <w:rFonts w:hint="default" w:ascii="Times New Roman" w:hAnsi="Times New Roman" w:cs="Times New Roman"/>
                      <w:b/>
                      <w:bCs/>
                      <w:color w:val="000000"/>
                      <w:spacing w:val="0"/>
                      <w:w w:val="100"/>
                      <w:kern w:val="2"/>
                      <w:sz w:val="21"/>
                      <w:szCs w:val="21"/>
                      <w:highlight w:val="none"/>
                      <w:lang w:val="en-US" w:eastAsia="zh-CN" w:bidi="zh-CN"/>
                    </w:rPr>
                    <w:t>环评</w:t>
                  </w:r>
                  <w:r>
                    <w:rPr>
                      <w:rFonts w:hint="default" w:ascii="Times New Roman" w:hAnsi="Times New Roman" w:eastAsia="宋体" w:cs="Times New Roman"/>
                      <w:b/>
                      <w:bCs/>
                      <w:color w:val="000000"/>
                      <w:spacing w:val="0"/>
                      <w:w w:val="100"/>
                      <w:kern w:val="2"/>
                      <w:sz w:val="21"/>
                      <w:szCs w:val="21"/>
                      <w:highlight w:val="none"/>
                      <w:lang w:val="en-US" w:eastAsia="zh-CN" w:bidi="zh-CN"/>
                    </w:rPr>
                    <w:t>数量</w:t>
                  </w:r>
                </w:p>
              </w:tc>
              <w:tc>
                <w:tcPr>
                  <w:tcW w:w="618" w:type="pct"/>
                  <w:tcBorders>
                    <w:tl2br w:val="nil"/>
                    <w:tr2bl w:val="nil"/>
                  </w:tcBorders>
                  <w:vAlign w:val="center"/>
                </w:tcPr>
                <w:p w14:paraId="364665FF">
                  <w:pPr>
                    <w:pStyle w:val="73"/>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b/>
                      <w:bCs/>
                      <w:color w:val="000000"/>
                      <w:spacing w:val="0"/>
                      <w:w w:val="100"/>
                      <w:kern w:val="2"/>
                      <w:sz w:val="21"/>
                      <w:szCs w:val="21"/>
                      <w:highlight w:val="none"/>
                      <w:lang w:val="en-US" w:eastAsia="zh-CN" w:bidi="zh-CN"/>
                    </w:rPr>
                  </w:pPr>
                  <w:r>
                    <w:rPr>
                      <w:rFonts w:hint="default" w:ascii="Times New Roman" w:hAnsi="Times New Roman" w:cs="Times New Roman"/>
                      <w:b/>
                      <w:bCs/>
                      <w:color w:val="000000"/>
                      <w:spacing w:val="0"/>
                      <w:w w:val="100"/>
                      <w:kern w:val="2"/>
                      <w:sz w:val="21"/>
                      <w:szCs w:val="21"/>
                      <w:highlight w:val="none"/>
                      <w:lang w:val="en-US" w:eastAsia="en-US" w:bidi="zh-CN"/>
                    </w:rPr>
                    <w:t>实际</w:t>
                  </w:r>
                  <w:r>
                    <w:rPr>
                      <w:rFonts w:hint="default" w:ascii="Times New Roman" w:hAnsi="Times New Roman" w:eastAsia="宋体" w:cs="Times New Roman"/>
                      <w:b/>
                      <w:bCs/>
                      <w:color w:val="000000"/>
                      <w:spacing w:val="0"/>
                      <w:w w:val="100"/>
                      <w:kern w:val="2"/>
                      <w:sz w:val="21"/>
                      <w:szCs w:val="21"/>
                      <w:highlight w:val="none"/>
                      <w:lang w:val="en-US" w:eastAsia="zh-CN" w:bidi="zh-CN"/>
                    </w:rPr>
                    <w:t>数量</w:t>
                  </w:r>
                </w:p>
              </w:tc>
              <w:tc>
                <w:tcPr>
                  <w:tcW w:w="1469" w:type="pct"/>
                  <w:tcBorders>
                    <w:tl2br w:val="nil"/>
                    <w:tr2bl w:val="nil"/>
                  </w:tcBorders>
                  <w:vAlign w:val="center"/>
                </w:tcPr>
                <w:p w14:paraId="1FCAE688">
                  <w:pPr>
                    <w:pStyle w:val="73"/>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bCs/>
                      <w:color w:val="000000"/>
                      <w:spacing w:val="0"/>
                      <w:w w:val="100"/>
                      <w:kern w:val="2"/>
                      <w:sz w:val="21"/>
                      <w:szCs w:val="21"/>
                      <w:highlight w:val="none"/>
                      <w:lang w:val="en-US" w:eastAsia="en-US" w:bidi="zh-CN"/>
                    </w:rPr>
                  </w:pPr>
                  <w:r>
                    <w:rPr>
                      <w:rFonts w:hint="eastAsia" w:ascii="Times New Roman" w:hAnsi="Times New Roman" w:cs="Times New Roman"/>
                      <w:b/>
                      <w:bCs/>
                      <w:color w:val="000000"/>
                      <w:spacing w:val="0"/>
                      <w:w w:val="100"/>
                      <w:kern w:val="2"/>
                      <w:sz w:val="21"/>
                      <w:szCs w:val="21"/>
                      <w:highlight w:val="none"/>
                      <w:lang w:val="en-US" w:eastAsia="en-US" w:bidi="zh-CN"/>
                    </w:rPr>
                    <w:t>备注</w:t>
                  </w:r>
                </w:p>
              </w:tc>
            </w:tr>
            <w:tr w14:paraId="4B0423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93" w:type="pct"/>
                  <w:tcBorders>
                    <w:tl2br w:val="nil"/>
                    <w:tr2bl w:val="nil"/>
                  </w:tcBorders>
                  <w:vAlign w:val="center"/>
                </w:tcPr>
                <w:p w14:paraId="4EDB9AF6">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spacing w:val="0"/>
                      <w:w w:val="100"/>
                      <w:kern w:val="2"/>
                      <w:sz w:val="21"/>
                      <w:szCs w:val="21"/>
                      <w:highlight w:val="none"/>
                      <w:lang w:val="en-US" w:eastAsia="zh-CN" w:bidi="zh-CN"/>
                    </w:rPr>
                  </w:pPr>
                  <w:r>
                    <w:rPr>
                      <w:rFonts w:hint="eastAsia" w:ascii="Times New Roman" w:hAnsi="Times New Roman" w:cs="Times New Roman"/>
                      <w:b w:val="0"/>
                      <w:bCs w:val="0"/>
                      <w:color w:val="000000"/>
                      <w:spacing w:val="0"/>
                      <w:w w:val="100"/>
                      <w:kern w:val="2"/>
                      <w:sz w:val="21"/>
                      <w:szCs w:val="21"/>
                      <w:highlight w:val="none"/>
                      <w:lang w:val="en-US" w:eastAsia="zh-CN" w:bidi="zh-CN"/>
                    </w:rPr>
                    <w:t>1</w:t>
                  </w:r>
                </w:p>
              </w:tc>
              <w:tc>
                <w:tcPr>
                  <w:tcW w:w="941" w:type="pct"/>
                  <w:tcBorders>
                    <w:tl2br w:val="nil"/>
                    <w:tr2bl w:val="nil"/>
                  </w:tcBorders>
                  <w:shd w:val="clear" w:color="auto" w:fill="auto"/>
                  <w:vAlign w:val="center"/>
                </w:tcPr>
                <w:p w14:paraId="194AEA47">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卧式螺带混合机</w:t>
                  </w:r>
                </w:p>
              </w:tc>
              <w:tc>
                <w:tcPr>
                  <w:tcW w:w="636" w:type="pct"/>
                  <w:tcBorders>
                    <w:tl2br w:val="nil"/>
                    <w:tr2bl w:val="nil"/>
                  </w:tcBorders>
                  <w:shd w:val="clear" w:color="auto" w:fill="auto"/>
                  <w:vAlign w:val="center"/>
                </w:tcPr>
                <w:p w14:paraId="514974A3">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非标</w:t>
                  </w:r>
                </w:p>
              </w:tc>
              <w:tc>
                <w:tcPr>
                  <w:tcW w:w="394" w:type="pct"/>
                  <w:tcBorders>
                    <w:tl2br w:val="nil"/>
                    <w:tr2bl w:val="nil"/>
                  </w:tcBorders>
                  <w:shd w:val="clear" w:color="auto" w:fill="auto"/>
                  <w:vAlign w:val="center"/>
                </w:tcPr>
                <w:p w14:paraId="0FB4E4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台</w:t>
                  </w:r>
                </w:p>
              </w:tc>
              <w:tc>
                <w:tcPr>
                  <w:tcW w:w="546" w:type="pct"/>
                  <w:tcBorders>
                    <w:tl2br w:val="nil"/>
                    <w:tr2bl w:val="nil"/>
                  </w:tcBorders>
                  <w:shd w:val="clear" w:color="auto" w:fill="auto"/>
                  <w:vAlign w:val="center"/>
                </w:tcPr>
                <w:p w14:paraId="3F731DA2">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618" w:type="pct"/>
                  <w:tcBorders>
                    <w:tl2br w:val="nil"/>
                    <w:tr2bl w:val="nil"/>
                  </w:tcBorders>
                  <w:shd w:val="clear" w:color="auto" w:fill="auto"/>
                  <w:vAlign w:val="center"/>
                </w:tcPr>
                <w:p w14:paraId="30615623">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000000"/>
                      <w:spacing w:val="0"/>
                      <w:w w:val="1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1469" w:type="pct"/>
                  <w:tcBorders>
                    <w:tl2br w:val="nil"/>
                    <w:tr2bl w:val="nil"/>
                  </w:tcBorders>
                  <w:shd w:val="clear" w:color="auto" w:fill="auto"/>
                  <w:vAlign w:val="center"/>
                </w:tcPr>
                <w:p w14:paraId="6D195C8F">
                  <w:pPr>
                    <w:jc w:val="center"/>
                    <w:rPr>
                      <w:rFonts w:hint="default" w:ascii="Times New Roman" w:hAnsi="Times New Roman" w:eastAsia="宋体" w:cs="Times New Roman"/>
                      <w:color w:val="auto"/>
                      <w:kern w:val="2"/>
                      <w:sz w:val="21"/>
                      <w:szCs w:val="21"/>
                      <w:highlight w:val="none"/>
                      <w:lang w:val="en-US" w:eastAsia="zh-CN" w:bidi="ar-SA"/>
                    </w:rPr>
                  </w:pPr>
                </w:p>
              </w:tc>
            </w:tr>
            <w:tr w14:paraId="2541C2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93" w:type="pct"/>
                  <w:tcBorders>
                    <w:tl2br w:val="nil"/>
                    <w:tr2bl w:val="nil"/>
                  </w:tcBorders>
                  <w:vAlign w:val="center"/>
                </w:tcPr>
                <w:p w14:paraId="583DB716">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spacing w:val="0"/>
                      <w:w w:val="100"/>
                      <w:kern w:val="2"/>
                      <w:sz w:val="21"/>
                      <w:szCs w:val="21"/>
                      <w:highlight w:val="none"/>
                      <w:lang w:val="en-US" w:eastAsia="zh-CN" w:bidi="zh-CN"/>
                    </w:rPr>
                  </w:pPr>
                  <w:r>
                    <w:rPr>
                      <w:rFonts w:hint="eastAsia" w:ascii="Times New Roman" w:hAnsi="Times New Roman" w:cs="Times New Roman"/>
                      <w:b w:val="0"/>
                      <w:bCs w:val="0"/>
                      <w:color w:val="000000"/>
                      <w:spacing w:val="0"/>
                      <w:w w:val="100"/>
                      <w:kern w:val="2"/>
                      <w:sz w:val="21"/>
                      <w:szCs w:val="21"/>
                      <w:highlight w:val="none"/>
                      <w:lang w:val="en-US" w:eastAsia="zh-CN" w:bidi="zh-CN"/>
                    </w:rPr>
                    <w:t>2</w:t>
                  </w:r>
                </w:p>
              </w:tc>
              <w:tc>
                <w:tcPr>
                  <w:tcW w:w="941" w:type="pct"/>
                  <w:tcBorders>
                    <w:tl2br w:val="nil"/>
                    <w:tr2bl w:val="nil"/>
                  </w:tcBorders>
                  <w:shd w:val="clear" w:color="auto" w:fill="auto"/>
                  <w:vAlign w:val="center"/>
                </w:tcPr>
                <w:p w14:paraId="7D39FAB9">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空压机</w:t>
                  </w:r>
                </w:p>
              </w:tc>
              <w:tc>
                <w:tcPr>
                  <w:tcW w:w="636" w:type="pct"/>
                  <w:tcBorders>
                    <w:tl2br w:val="nil"/>
                    <w:tr2bl w:val="nil"/>
                  </w:tcBorders>
                  <w:shd w:val="clear" w:color="auto" w:fill="auto"/>
                  <w:vAlign w:val="center"/>
                </w:tcPr>
                <w:p w14:paraId="18ED918D">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w:t>
                  </w:r>
                </w:p>
              </w:tc>
              <w:tc>
                <w:tcPr>
                  <w:tcW w:w="394" w:type="pct"/>
                  <w:tcBorders>
                    <w:tl2br w:val="nil"/>
                    <w:tr2bl w:val="nil"/>
                  </w:tcBorders>
                  <w:shd w:val="clear" w:color="auto" w:fill="auto"/>
                  <w:vAlign w:val="center"/>
                </w:tcPr>
                <w:p w14:paraId="57B820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台</w:t>
                  </w:r>
                </w:p>
              </w:tc>
              <w:tc>
                <w:tcPr>
                  <w:tcW w:w="546" w:type="pct"/>
                  <w:tcBorders>
                    <w:tl2br w:val="nil"/>
                    <w:tr2bl w:val="nil"/>
                  </w:tcBorders>
                  <w:shd w:val="clear" w:color="auto" w:fill="auto"/>
                  <w:vAlign w:val="center"/>
                </w:tcPr>
                <w:p w14:paraId="1685E9BC">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1</w:t>
                  </w:r>
                </w:p>
              </w:tc>
              <w:tc>
                <w:tcPr>
                  <w:tcW w:w="618" w:type="pct"/>
                  <w:tcBorders>
                    <w:tl2br w:val="nil"/>
                    <w:tr2bl w:val="nil"/>
                  </w:tcBorders>
                  <w:shd w:val="clear" w:color="auto" w:fill="auto"/>
                  <w:vAlign w:val="center"/>
                </w:tcPr>
                <w:p w14:paraId="3F49D52E">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000000"/>
                      <w:spacing w:val="0"/>
                      <w:w w:val="100"/>
                      <w:kern w:val="2"/>
                      <w:sz w:val="21"/>
                      <w:szCs w:val="21"/>
                      <w:lang w:val="en-US" w:eastAsia="zh-CN" w:bidi="ar-SA"/>
                    </w:rPr>
                  </w:pPr>
                  <w:r>
                    <w:rPr>
                      <w:rStyle w:val="70"/>
                      <w:rFonts w:hint="eastAsia" w:ascii="Times New Roman" w:hAnsi="Times New Roman" w:cs="Times New Roman"/>
                      <w:b w:val="0"/>
                      <w:i w:val="0"/>
                      <w:caps w:val="0"/>
                      <w:color w:val="auto"/>
                      <w:spacing w:val="0"/>
                      <w:w w:val="100"/>
                      <w:kern w:val="2"/>
                      <w:sz w:val="21"/>
                      <w:szCs w:val="21"/>
                      <w:lang w:val="en-US" w:eastAsia="zh-CN" w:bidi="ar-SA"/>
                    </w:rPr>
                    <w:t>2</w:t>
                  </w:r>
                </w:p>
              </w:tc>
              <w:tc>
                <w:tcPr>
                  <w:tcW w:w="1469" w:type="pct"/>
                  <w:tcBorders>
                    <w:tl2br w:val="nil"/>
                    <w:tr2bl w:val="nil"/>
                  </w:tcBorders>
                  <w:shd w:val="clear" w:color="auto" w:fill="auto"/>
                  <w:vAlign w:val="center"/>
                </w:tcPr>
                <w:p w14:paraId="773717B4">
                  <w:pPr>
                    <w:jc w:val="center"/>
                    <w:rPr>
                      <w:rFonts w:hint="default" w:ascii="Times New Roman" w:hAnsi="Times New Roman" w:eastAsia="宋体" w:cs="Times New Roman"/>
                      <w:color w:val="auto"/>
                      <w:kern w:val="2"/>
                      <w:sz w:val="21"/>
                      <w:szCs w:val="21"/>
                      <w:highlight w:val="none"/>
                      <w:lang w:val="en-US" w:eastAsia="zh-CN" w:bidi="ar-SA"/>
                    </w:rPr>
                  </w:pPr>
                </w:p>
              </w:tc>
            </w:tr>
            <w:tr w14:paraId="32A7B0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93" w:type="pct"/>
                  <w:tcBorders>
                    <w:tl2br w:val="nil"/>
                    <w:tr2bl w:val="nil"/>
                  </w:tcBorders>
                  <w:vAlign w:val="center"/>
                </w:tcPr>
                <w:p w14:paraId="39ECC89B">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spacing w:val="0"/>
                      <w:w w:val="100"/>
                      <w:kern w:val="2"/>
                      <w:sz w:val="21"/>
                      <w:szCs w:val="21"/>
                      <w:highlight w:val="none"/>
                      <w:lang w:val="en-US" w:eastAsia="zh-CN" w:bidi="zh-CN"/>
                    </w:rPr>
                  </w:pPr>
                  <w:r>
                    <w:rPr>
                      <w:rFonts w:hint="eastAsia" w:ascii="Times New Roman" w:hAnsi="Times New Roman" w:cs="Times New Roman"/>
                      <w:b w:val="0"/>
                      <w:bCs w:val="0"/>
                      <w:color w:val="000000"/>
                      <w:spacing w:val="0"/>
                      <w:w w:val="100"/>
                      <w:kern w:val="2"/>
                      <w:sz w:val="21"/>
                      <w:szCs w:val="21"/>
                      <w:highlight w:val="none"/>
                      <w:lang w:val="en-US" w:eastAsia="zh-CN" w:bidi="zh-CN"/>
                    </w:rPr>
                    <w:t>3</w:t>
                  </w:r>
                </w:p>
              </w:tc>
              <w:tc>
                <w:tcPr>
                  <w:tcW w:w="941" w:type="pct"/>
                  <w:tcBorders>
                    <w:tl2br w:val="nil"/>
                    <w:tr2bl w:val="nil"/>
                  </w:tcBorders>
                  <w:shd w:val="clear" w:color="auto" w:fill="auto"/>
                  <w:vAlign w:val="center"/>
                </w:tcPr>
                <w:p w14:paraId="2496268D">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叉车</w:t>
                  </w:r>
                </w:p>
              </w:tc>
              <w:tc>
                <w:tcPr>
                  <w:tcW w:w="636" w:type="pct"/>
                  <w:tcBorders>
                    <w:tl2br w:val="nil"/>
                    <w:tr2bl w:val="nil"/>
                  </w:tcBorders>
                  <w:shd w:val="clear" w:color="auto" w:fill="auto"/>
                  <w:vAlign w:val="center"/>
                </w:tcPr>
                <w:p w14:paraId="102BB72F">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CPCD20N</w:t>
                  </w:r>
                </w:p>
              </w:tc>
              <w:tc>
                <w:tcPr>
                  <w:tcW w:w="394" w:type="pct"/>
                  <w:tcBorders>
                    <w:tl2br w:val="nil"/>
                    <w:tr2bl w:val="nil"/>
                  </w:tcBorders>
                  <w:shd w:val="clear" w:color="auto" w:fill="auto"/>
                  <w:vAlign w:val="center"/>
                </w:tcPr>
                <w:p w14:paraId="1C14CA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辆</w:t>
                  </w:r>
                </w:p>
              </w:tc>
              <w:tc>
                <w:tcPr>
                  <w:tcW w:w="546" w:type="pct"/>
                  <w:tcBorders>
                    <w:tl2br w:val="nil"/>
                    <w:tr2bl w:val="nil"/>
                  </w:tcBorders>
                  <w:shd w:val="clear" w:color="auto" w:fill="auto"/>
                  <w:vAlign w:val="center"/>
                </w:tcPr>
                <w:p w14:paraId="22D286AE">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618" w:type="pct"/>
                  <w:tcBorders>
                    <w:tl2br w:val="nil"/>
                    <w:tr2bl w:val="nil"/>
                  </w:tcBorders>
                  <w:shd w:val="clear" w:color="auto" w:fill="auto"/>
                  <w:vAlign w:val="center"/>
                </w:tcPr>
                <w:p w14:paraId="47AE1180">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1469" w:type="pct"/>
                  <w:tcBorders>
                    <w:tl2br w:val="nil"/>
                    <w:tr2bl w:val="nil"/>
                  </w:tcBorders>
                  <w:shd w:val="clear" w:color="auto" w:fill="auto"/>
                  <w:vAlign w:val="center"/>
                </w:tcPr>
                <w:p w14:paraId="1DAE6213">
                  <w:pPr>
                    <w:jc w:val="center"/>
                    <w:rPr>
                      <w:rFonts w:hint="default" w:ascii="Times New Roman" w:hAnsi="Times New Roman" w:eastAsia="宋体" w:cs="Times New Roman"/>
                      <w:color w:val="auto"/>
                      <w:kern w:val="2"/>
                      <w:sz w:val="21"/>
                      <w:szCs w:val="21"/>
                      <w:highlight w:val="none"/>
                      <w:lang w:val="en-US" w:eastAsia="zh-CN" w:bidi="ar-SA"/>
                    </w:rPr>
                  </w:pPr>
                </w:p>
              </w:tc>
            </w:tr>
            <w:tr w14:paraId="2336AA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93" w:type="pct"/>
                  <w:tcBorders>
                    <w:tl2br w:val="nil"/>
                    <w:tr2bl w:val="nil"/>
                  </w:tcBorders>
                  <w:vAlign w:val="center"/>
                </w:tcPr>
                <w:p w14:paraId="4B352598">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spacing w:val="0"/>
                      <w:w w:val="100"/>
                      <w:kern w:val="2"/>
                      <w:sz w:val="21"/>
                      <w:szCs w:val="21"/>
                      <w:highlight w:val="none"/>
                      <w:lang w:val="en-US" w:eastAsia="zh-CN" w:bidi="zh-CN"/>
                    </w:rPr>
                  </w:pPr>
                  <w:r>
                    <w:rPr>
                      <w:rFonts w:hint="eastAsia" w:ascii="Times New Roman" w:hAnsi="Times New Roman" w:cs="Times New Roman"/>
                      <w:b w:val="0"/>
                      <w:bCs w:val="0"/>
                      <w:color w:val="000000"/>
                      <w:spacing w:val="0"/>
                      <w:w w:val="100"/>
                      <w:kern w:val="2"/>
                      <w:sz w:val="21"/>
                      <w:szCs w:val="21"/>
                      <w:highlight w:val="none"/>
                      <w:lang w:val="en-US" w:eastAsia="zh-CN" w:bidi="zh-CN"/>
                    </w:rPr>
                    <w:t>4</w:t>
                  </w:r>
                </w:p>
              </w:tc>
              <w:tc>
                <w:tcPr>
                  <w:tcW w:w="941" w:type="pct"/>
                  <w:tcBorders>
                    <w:tl2br w:val="nil"/>
                    <w:tr2bl w:val="nil"/>
                  </w:tcBorders>
                  <w:shd w:val="clear" w:color="auto" w:fill="auto"/>
                  <w:vAlign w:val="center"/>
                </w:tcPr>
                <w:p w14:paraId="3D44D91A">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快速球磨机</w:t>
                  </w:r>
                </w:p>
              </w:tc>
              <w:tc>
                <w:tcPr>
                  <w:tcW w:w="636" w:type="pct"/>
                  <w:tcBorders>
                    <w:tl2br w:val="nil"/>
                    <w:tr2bl w:val="nil"/>
                  </w:tcBorders>
                  <w:shd w:val="clear" w:color="auto" w:fill="auto"/>
                  <w:vAlign w:val="center"/>
                </w:tcPr>
                <w:p w14:paraId="01C1F4FF">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w:t>
                  </w:r>
                </w:p>
              </w:tc>
              <w:tc>
                <w:tcPr>
                  <w:tcW w:w="394" w:type="pct"/>
                  <w:tcBorders>
                    <w:tl2br w:val="nil"/>
                    <w:tr2bl w:val="nil"/>
                  </w:tcBorders>
                  <w:shd w:val="clear" w:color="auto" w:fill="auto"/>
                  <w:vAlign w:val="center"/>
                </w:tcPr>
                <w:p w14:paraId="1B26B9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台</w:t>
                  </w:r>
                </w:p>
              </w:tc>
              <w:tc>
                <w:tcPr>
                  <w:tcW w:w="546" w:type="pct"/>
                  <w:tcBorders>
                    <w:tl2br w:val="nil"/>
                    <w:tr2bl w:val="nil"/>
                  </w:tcBorders>
                  <w:shd w:val="clear" w:color="auto" w:fill="auto"/>
                  <w:vAlign w:val="center"/>
                </w:tcPr>
                <w:p w14:paraId="138712AF">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1</w:t>
                  </w:r>
                </w:p>
              </w:tc>
              <w:tc>
                <w:tcPr>
                  <w:tcW w:w="618" w:type="pct"/>
                  <w:tcBorders>
                    <w:tl2br w:val="nil"/>
                    <w:tr2bl w:val="nil"/>
                  </w:tcBorders>
                  <w:shd w:val="clear" w:color="auto" w:fill="auto"/>
                  <w:vAlign w:val="center"/>
                </w:tcPr>
                <w:p w14:paraId="4AC18AAC">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70"/>
                      <w:rFonts w:hint="eastAsia" w:ascii="Times New Roman" w:hAnsi="Times New Roman" w:cs="Times New Roman"/>
                      <w:b w:val="0"/>
                      <w:i w:val="0"/>
                      <w:caps w:val="0"/>
                      <w:color w:val="auto"/>
                      <w:spacing w:val="0"/>
                      <w:w w:val="100"/>
                      <w:kern w:val="2"/>
                      <w:sz w:val="21"/>
                      <w:szCs w:val="21"/>
                      <w:lang w:val="en-US" w:eastAsia="zh-CN" w:bidi="ar-SA"/>
                    </w:rPr>
                    <w:t>2</w:t>
                  </w:r>
                </w:p>
              </w:tc>
              <w:tc>
                <w:tcPr>
                  <w:tcW w:w="1469" w:type="pct"/>
                  <w:tcBorders>
                    <w:tl2br w:val="nil"/>
                    <w:tr2bl w:val="nil"/>
                  </w:tcBorders>
                  <w:shd w:val="clear" w:color="auto" w:fill="auto"/>
                  <w:vAlign w:val="center"/>
                </w:tcPr>
                <w:p w14:paraId="77D595E3">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小型，用于产品质量检测</w:t>
                  </w:r>
                </w:p>
              </w:tc>
            </w:tr>
            <w:tr w14:paraId="6EF7C8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93" w:type="pct"/>
                  <w:tcBorders>
                    <w:tl2br w:val="nil"/>
                    <w:tr2bl w:val="nil"/>
                  </w:tcBorders>
                  <w:vAlign w:val="center"/>
                </w:tcPr>
                <w:p w14:paraId="4365CC8A">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spacing w:val="0"/>
                      <w:w w:val="100"/>
                      <w:kern w:val="2"/>
                      <w:sz w:val="21"/>
                      <w:szCs w:val="21"/>
                      <w:highlight w:val="none"/>
                      <w:lang w:val="en-US" w:eastAsia="zh-CN" w:bidi="zh-CN"/>
                    </w:rPr>
                  </w:pPr>
                  <w:r>
                    <w:rPr>
                      <w:rFonts w:hint="eastAsia" w:ascii="Times New Roman" w:hAnsi="Times New Roman" w:cs="Times New Roman"/>
                      <w:b w:val="0"/>
                      <w:bCs w:val="0"/>
                      <w:color w:val="000000"/>
                      <w:spacing w:val="0"/>
                      <w:w w:val="100"/>
                      <w:kern w:val="2"/>
                      <w:sz w:val="21"/>
                      <w:szCs w:val="21"/>
                      <w:highlight w:val="none"/>
                      <w:lang w:val="en-US" w:eastAsia="zh-CN" w:bidi="zh-CN"/>
                    </w:rPr>
                    <w:t>5</w:t>
                  </w:r>
                </w:p>
              </w:tc>
              <w:tc>
                <w:tcPr>
                  <w:tcW w:w="941" w:type="pct"/>
                  <w:tcBorders>
                    <w:tl2br w:val="nil"/>
                    <w:tr2bl w:val="nil"/>
                  </w:tcBorders>
                  <w:shd w:val="clear" w:color="auto" w:fill="auto"/>
                  <w:vAlign w:val="center"/>
                </w:tcPr>
                <w:p w14:paraId="62A1A14A">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脉冲除尘器</w:t>
                  </w:r>
                </w:p>
              </w:tc>
              <w:tc>
                <w:tcPr>
                  <w:tcW w:w="636" w:type="pct"/>
                  <w:tcBorders>
                    <w:tl2br w:val="nil"/>
                    <w:tr2bl w:val="nil"/>
                  </w:tcBorders>
                  <w:shd w:val="clear" w:color="auto" w:fill="auto"/>
                  <w:vAlign w:val="center"/>
                </w:tcPr>
                <w:p w14:paraId="60BEFD79">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w:t>
                  </w:r>
                </w:p>
              </w:tc>
              <w:tc>
                <w:tcPr>
                  <w:tcW w:w="394" w:type="pct"/>
                  <w:tcBorders>
                    <w:tl2br w:val="nil"/>
                    <w:tr2bl w:val="nil"/>
                  </w:tcBorders>
                  <w:shd w:val="clear" w:color="auto" w:fill="auto"/>
                  <w:vAlign w:val="center"/>
                </w:tcPr>
                <w:p w14:paraId="2BA43D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台</w:t>
                  </w:r>
                </w:p>
              </w:tc>
              <w:tc>
                <w:tcPr>
                  <w:tcW w:w="546" w:type="pct"/>
                  <w:tcBorders>
                    <w:tl2br w:val="nil"/>
                    <w:tr2bl w:val="nil"/>
                  </w:tcBorders>
                  <w:shd w:val="clear" w:color="auto" w:fill="auto"/>
                  <w:vAlign w:val="center"/>
                </w:tcPr>
                <w:p w14:paraId="1ACAC2D1">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618" w:type="pct"/>
                  <w:tcBorders>
                    <w:tl2br w:val="nil"/>
                    <w:tr2bl w:val="nil"/>
                  </w:tcBorders>
                  <w:shd w:val="clear" w:color="auto" w:fill="auto"/>
                  <w:vAlign w:val="center"/>
                </w:tcPr>
                <w:p w14:paraId="21FA0B6B">
                  <w:pPr>
                    <w:keepLines w:val="0"/>
                    <w:widowControl w:val="0"/>
                    <w:snapToGrid/>
                    <w:spacing w:before="0" w:beforeAutospacing="0" w:after="0" w:afterAutospacing="0" w:line="240" w:lineRule="auto"/>
                    <w:jc w:val="center"/>
                    <w:textAlignment w:val="baseline"/>
                    <w:rPr>
                      <w:rStyle w:val="70"/>
                      <w:rFonts w:hint="default" w:ascii="Times New Roman" w:hAnsi="Times New Roman" w:eastAsia="宋体" w:cs="Times New Roman"/>
                      <w:b w:val="0"/>
                      <w:i w:val="0"/>
                      <w:caps w:val="0"/>
                      <w:color w:val="000000"/>
                      <w:spacing w:val="0"/>
                      <w:w w:val="1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1469" w:type="pct"/>
                  <w:tcBorders>
                    <w:tl2br w:val="nil"/>
                    <w:tr2bl w:val="nil"/>
                  </w:tcBorders>
                  <w:shd w:val="clear" w:color="auto" w:fill="auto"/>
                  <w:vAlign w:val="center"/>
                </w:tcPr>
                <w:p w14:paraId="18B6A339">
                  <w:pPr>
                    <w:jc w:val="center"/>
                    <w:rPr>
                      <w:rFonts w:hint="default" w:ascii="Times New Roman" w:hAnsi="Times New Roman" w:eastAsia="宋体" w:cs="Times New Roman"/>
                      <w:color w:val="auto"/>
                      <w:kern w:val="2"/>
                      <w:sz w:val="21"/>
                      <w:szCs w:val="21"/>
                      <w:highlight w:val="none"/>
                      <w:lang w:val="en-US" w:eastAsia="zh-CN" w:bidi="ar-SA"/>
                    </w:rPr>
                  </w:pPr>
                </w:p>
              </w:tc>
            </w:tr>
            <w:tr w14:paraId="207D67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393" w:type="pct"/>
                  <w:tcBorders>
                    <w:tl2br w:val="nil"/>
                    <w:tr2bl w:val="nil"/>
                  </w:tcBorders>
                  <w:vAlign w:val="center"/>
                </w:tcPr>
                <w:p w14:paraId="63F99130">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spacing w:val="0"/>
                      <w:w w:val="100"/>
                      <w:kern w:val="2"/>
                      <w:sz w:val="21"/>
                      <w:szCs w:val="21"/>
                      <w:highlight w:val="none"/>
                      <w:lang w:val="en-US" w:eastAsia="zh-CN" w:bidi="zh-CN"/>
                    </w:rPr>
                  </w:pPr>
                  <w:r>
                    <w:rPr>
                      <w:rFonts w:hint="eastAsia" w:ascii="Times New Roman" w:hAnsi="Times New Roman" w:cs="Times New Roman"/>
                      <w:b w:val="0"/>
                      <w:bCs w:val="0"/>
                      <w:color w:val="000000"/>
                      <w:spacing w:val="0"/>
                      <w:w w:val="100"/>
                      <w:kern w:val="2"/>
                      <w:sz w:val="21"/>
                      <w:szCs w:val="21"/>
                      <w:highlight w:val="none"/>
                      <w:lang w:val="en-US" w:eastAsia="zh-CN" w:bidi="zh-CN"/>
                    </w:rPr>
                    <w:t>6</w:t>
                  </w:r>
                </w:p>
              </w:tc>
              <w:tc>
                <w:tcPr>
                  <w:tcW w:w="941" w:type="pct"/>
                  <w:tcBorders>
                    <w:tl2br w:val="nil"/>
                    <w:tr2bl w:val="nil"/>
                  </w:tcBorders>
                  <w:shd w:val="clear" w:color="auto" w:fill="auto"/>
                  <w:vAlign w:val="center"/>
                </w:tcPr>
                <w:p w14:paraId="755AA229">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风机</w:t>
                  </w:r>
                </w:p>
              </w:tc>
              <w:tc>
                <w:tcPr>
                  <w:tcW w:w="636" w:type="pct"/>
                  <w:tcBorders>
                    <w:tl2br w:val="nil"/>
                    <w:tr2bl w:val="nil"/>
                  </w:tcBorders>
                  <w:shd w:val="clear" w:color="auto" w:fill="auto"/>
                  <w:vAlign w:val="center"/>
                </w:tcPr>
                <w:p w14:paraId="50E3CAE8">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w:t>
                  </w:r>
                </w:p>
              </w:tc>
              <w:tc>
                <w:tcPr>
                  <w:tcW w:w="394" w:type="pct"/>
                  <w:tcBorders>
                    <w:tl2br w:val="nil"/>
                    <w:tr2bl w:val="nil"/>
                  </w:tcBorders>
                  <w:shd w:val="clear" w:color="auto" w:fill="auto"/>
                  <w:vAlign w:val="center"/>
                </w:tcPr>
                <w:p w14:paraId="79D801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台</w:t>
                  </w:r>
                </w:p>
              </w:tc>
              <w:tc>
                <w:tcPr>
                  <w:tcW w:w="546" w:type="pct"/>
                  <w:tcBorders>
                    <w:tl2br w:val="nil"/>
                    <w:tr2bl w:val="nil"/>
                  </w:tcBorders>
                  <w:shd w:val="clear" w:color="auto" w:fill="auto"/>
                  <w:vAlign w:val="center"/>
                </w:tcPr>
                <w:p w14:paraId="5B47C2AF">
                  <w:pPr>
                    <w:keepLines w:val="0"/>
                    <w:widowControl w:val="0"/>
                    <w:snapToGrid/>
                    <w:spacing w:before="0" w:beforeAutospacing="0" w:after="0" w:afterAutospacing="0" w:line="240" w:lineRule="auto"/>
                    <w:jc w:val="center"/>
                    <w:textAlignment w:val="baseline"/>
                    <w:rPr>
                      <w:rFonts w:hint="default" w:ascii="Times New Roman" w:hAnsi="Times New Roman" w:eastAsia="宋体" w:cs="Times New Roman"/>
                      <w:color w:val="0000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618" w:type="pct"/>
                  <w:tcBorders>
                    <w:tl2br w:val="nil"/>
                    <w:tr2bl w:val="nil"/>
                  </w:tcBorders>
                  <w:shd w:val="clear" w:color="auto" w:fill="auto"/>
                  <w:vAlign w:val="center"/>
                </w:tcPr>
                <w:p w14:paraId="60FE08D4">
                  <w:pPr>
                    <w:keepLines w:val="0"/>
                    <w:widowControl w:val="0"/>
                    <w:snapToGrid/>
                    <w:spacing w:before="0" w:beforeAutospacing="0" w:after="0" w:afterAutospacing="0" w:line="240" w:lineRule="auto"/>
                    <w:jc w:val="center"/>
                    <w:textAlignment w:val="baseline"/>
                    <w:rPr>
                      <w:rStyle w:val="70"/>
                      <w:rFonts w:hint="default" w:ascii="Times New Roman" w:hAnsi="Times New Roman" w:eastAsia="宋体" w:cs="Times New Roman"/>
                      <w:b w:val="0"/>
                      <w:i w:val="0"/>
                      <w:caps w:val="0"/>
                      <w:color w:val="000000"/>
                      <w:spacing w:val="0"/>
                      <w:w w:val="100"/>
                      <w:kern w:val="2"/>
                      <w:sz w:val="21"/>
                      <w:szCs w:val="21"/>
                      <w:lang w:val="en-US" w:eastAsia="zh-CN" w:bidi="ar-SA"/>
                    </w:rPr>
                  </w:pPr>
                  <w:r>
                    <w:rPr>
                      <w:rStyle w:val="70"/>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1469" w:type="pct"/>
                  <w:tcBorders>
                    <w:tl2br w:val="nil"/>
                    <w:tr2bl w:val="nil"/>
                  </w:tcBorders>
                  <w:shd w:val="clear" w:color="auto" w:fill="auto"/>
                  <w:vAlign w:val="center"/>
                </w:tcPr>
                <w:p w14:paraId="4D6119C4">
                  <w:pPr>
                    <w:jc w:val="center"/>
                    <w:rPr>
                      <w:rFonts w:hint="default" w:ascii="Times New Roman" w:hAnsi="Times New Roman" w:eastAsia="宋体" w:cs="Times New Roman"/>
                      <w:color w:val="auto"/>
                      <w:kern w:val="2"/>
                      <w:sz w:val="21"/>
                      <w:szCs w:val="21"/>
                      <w:highlight w:val="none"/>
                      <w:lang w:val="en-US" w:eastAsia="zh-CN" w:bidi="ar-SA"/>
                    </w:rPr>
                  </w:pPr>
                </w:p>
              </w:tc>
            </w:tr>
            <w:tr w14:paraId="11F45C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000" w:type="pct"/>
                  <w:gridSpan w:val="7"/>
                  <w:tcBorders>
                    <w:tl2br w:val="nil"/>
                    <w:tr2bl w:val="nil"/>
                  </w:tcBorders>
                  <w:vAlign w:val="center"/>
                </w:tcPr>
                <w:p w14:paraId="172D97CE">
                  <w:pPr>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注：空压机、快速球磨机各增加1台，为辅助设备和质量检测设备，产能不变。</w:t>
                  </w:r>
                </w:p>
              </w:tc>
            </w:tr>
          </w:tbl>
          <w:p w14:paraId="7927A2D1">
            <w:pPr>
              <w:pStyle w:val="11"/>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eastAsia" w:ascii="Times New Roman" w:hAnsi="Times New Roman" w:cs="Times New Roman"/>
                <w:b/>
                <w:bCs/>
                <w:color w:val="auto"/>
                <w:sz w:val="21"/>
                <w:szCs w:val="21"/>
                <w:lang w:val="en-US" w:eastAsia="zh-CN"/>
              </w:rPr>
            </w:pPr>
          </w:p>
          <w:p w14:paraId="7122842D">
            <w:pPr>
              <w:pStyle w:val="11"/>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表2-3</w:t>
            </w:r>
            <w:r>
              <w:rPr>
                <w:rFonts w:hint="default" w:ascii="Times New Roman" w:hAnsi="Times New Roman" w:eastAsia="宋体" w:cs="Times New Roman"/>
                <w:b/>
                <w:bCs/>
                <w:color w:val="auto"/>
                <w:sz w:val="21"/>
                <w:szCs w:val="21"/>
                <w:lang w:val="en-US" w:eastAsia="zh-CN"/>
              </w:rPr>
              <w:t>产品方案</w:t>
            </w:r>
          </w:p>
          <w:tbl>
            <w:tblPr>
              <w:tblStyle w:val="24"/>
              <w:tblW w:w="83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680"/>
              <w:gridCol w:w="1440"/>
              <w:gridCol w:w="1905"/>
              <w:gridCol w:w="2551"/>
            </w:tblGrid>
            <w:tr w14:paraId="78A5CF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42" w:type="pct"/>
                  <w:noWrap w:val="0"/>
                  <w:vAlign w:val="center"/>
                </w:tcPr>
                <w:p w14:paraId="35796BA9">
                  <w:pPr>
                    <w:jc w:val="center"/>
                    <w:rPr>
                      <w:rFonts w:hint="eastAsia" w:ascii="Times New Roman" w:hAnsi="Times New Roman" w:eastAsia="宋体" w:cs="Times New Roman"/>
                      <w:b/>
                      <w:bCs/>
                      <w:color w:val="000000"/>
                      <w:sz w:val="21"/>
                      <w:szCs w:val="21"/>
                      <w:lang w:eastAsia="zh-CN"/>
                    </w:rPr>
                  </w:pPr>
                  <w:r>
                    <w:rPr>
                      <w:rFonts w:hint="eastAsia" w:ascii="Times New Roman" w:hAnsi="Times New Roman" w:cs="Times New Roman"/>
                      <w:b/>
                      <w:bCs/>
                      <w:color w:val="000000"/>
                      <w:sz w:val="21"/>
                      <w:szCs w:val="21"/>
                      <w:lang w:eastAsia="zh-CN"/>
                    </w:rPr>
                    <w:t>序号</w:t>
                  </w:r>
                </w:p>
              </w:tc>
              <w:tc>
                <w:tcPr>
                  <w:tcW w:w="1010" w:type="pct"/>
                  <w:noWrap w:val="0"/>
                  <w:vAlign w:val="center"/>
                </w:tcPr>
                <w:p w14:paraId="57C7DF55">
                  <w:pPr>
                    <w:jc w:val="center"/>
                    <w:rPr>
                      <w:rFonts w:hint="eastAsia" w:ascii="Times New Roman" w:hAnsi="Times New Roman" w:eastAsia="宋体" w:cs="Times New Roman"/>
                      <w:b/>
                      <w:bCs/>
                      <w:color w:val="000000"/>
                      <w:sz w:val="21"/>
                      <w:szCs w:val="21"/>
                      <w:lang w:eastAsia="zh-CN"/>
                    </w:rPr>
                  </w:pPr>
                  <w:r>
                    <w:rPr>
                      <w:rFonts w:hint="eastAsia" w:ascii="Times New Roman" w:hAnsi="Times New Roman" w:cs="Times New Roman"/>
                      <w:b/>
                      <w:bCs/>
                      <w:color w:val="000000"/>
                      <w:sz w:val="21"/>
                      <w:szCs w:val="21"/>
                      <w:lang w:eastAsia="zh-CN"/>
                    </w:rPr>
                    <w:t>名称</w:t>
                  </w:r>
                </w:p>
              </w:tc>
              <w:tc>
                <w:tcPr>
                  <w:tcW w:w="866" w:type="pct"/>
                  <w:noWrap w:val="0"/>
                  <w:vAlign w:val="center"/>
                </w:tcPr>
                <w:p w14:paraId="2A600F85">
                  <w:pPr>
                    <w:jc w:val="center"/>
                    <w:rPr>
                      <w:rFonts w:hint="default"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产品规格</w:t>
                  </w:r>
                </w:p>
              </w:tc>
              <w:tc>
                <w:tcPr>
                  <w:tcW w:w="1145" w:type="pct"/>
                  <w:noWrap w:val="0"/>
                  <w:vAlign w:val="center"/>
                </w:tcPr>
                <w:p w14:paraId="7825CB9B">
                  <w:pPr>
                    <w:jc w:val="center"/>
                    <w:rPr>
                      <w:rFonts w:hint="eastAsia" w:ascii="Times New Roman" w:hAnsi="Times New Roman" w:cs="Times New Roman"/>
                      <w:b/>
                      <w:bCs/>
                      <w:color w:val="000000"/>
                      <w:sz w:val="21"/>
                      <w:szCs w:val="21"/>
                      <w:lang w:eastAsia="zh-CN"/>
                    </w:rPr>
                  </w:pPr>
                  <w:r>
                    <w:rPr>
                      <w:rFonts w:hint="eastAsia" w:ascii="Times New Roman" w:hAnsi="Times New Roman" w:cs="Times New Roman"/>
                      <w:b/>
                      <w:bCs/>
                      <w:color w:val="000000"/>
                      <w:sz w:val="21"/>
                      <w:szCs w:val="21"/>
                      <w:lang w:eastAsia="zh-CN"/>
                    </w:rPr>
                    <w:t>环评年</w:t>
                  </w:r>
                  <w:r>
                    <w:rPr>
                      <w:rFonts w:hint="default" w:ascii="Times New Roman" w:hAnsi="Times New Roman" w:cs="Times New Roman"/>
                      <w:b/>
                      <w:bCs/>
                      <w:color w:val="000000"/>
                      <w:sz w:val="21"/>
                      <w:szCs w:val="21"/>
                    </w:rPr>
                    <w:t>产量</w:t>
                  </w:r>
                </w:p>
              </w:tc>
              <w:tc>
                <w:tcPr>
                  <w:tcW w:w="1534" w:type="pct"/>
                  <w:noWrap w:val="0"/>
                  <w:vAlign w:val="center"/>
                </w:tcPr>
                <w:p w14:paraId="4B504C38">
                  <w:pPr>
                    <w:jc w:val="center"/>
                    <w:rPr>
                      <w:rFonts w:hint="eastAsia" w:ascii="Times New Roman" w:hAnsi="Times New Roman" w:eastAsia="宋体" w:cs="Times New Roman"/>
                      <w:b/>
                      <w:bCs/>
                      <w:color w:val="000000"/>
                      <w:sz w:val="21"/>
                      <w:szCs w:val="21"/>
                      <w:lang w:eastAsia="zh-CN"/>
                    </w:rPr>
                  </w:pPr>
                  <w:r>
                    <w:rPr>
                      <w:rFonts w:hint="eastAsia" w:ascii="Times New Roman" w:hAnsi="Times New Roman" w:cs="Times New Roman"/>
                      <w:b/>
                      <w:bCs/>
                      <w:color w:val="000000"/>
                      <w:sz w:val="21"/>
                      <w:szCs w:val="21"/>
                      <w:lang w:eastAsia="zh-CN"/>
                    </w:rPr>
                    <w:t>实际年</w:t>
                  </w:r>
                  <w:r>
                    <w:rPr>
                      <w:rFonts w:hint="default" w:ascii="Times New Roman" w:hAnsi="Times New Roman" w:cs="Times New Roman"/>
                      <w:b/>
                      <w:bCs/>
                      <w:color w:val="000000"/>
                      <w:sz w:val="21"/>
                      <w:szCs w:val="21"/>
                    </w:rPr>
                    <w:t>产量</w:t>
                  </w:r>
                </w:p>
              </w:tc>
            </w:tr>
            <w:tr w14:paraId="1D4250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442" w:type="pct"/>
                  <w:noWrap w:val="0"/>
                  <w:vAlign w:val="center"/>
                </w:tcPr>
                <w:p w14:paraId="6CFE1463">
                  <w:pPr>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1</w:t>
                  </w:r>
                </w:p>
              </w:tc>
              <w:tc>
                <w:tcPr>
                  <w:tcW w:w="1010" w:type="pct"/>
                  <w:noWrap w:val="0"/>
                  <w:vAlign w:val="center"/>
                </w:tcPr>
                <w:p w14:paraId="13D1880C">
                  <w:pPr>
                    <w:keepNext w:val="0"/>
                    <w:keepLines w:val="0"/>
                    <w:pageBreakBefore w:val="0"/>
                    <w:widowControl w:val="0"/>
                    <w:kinsoku/>
                    <w:wordWrap/>
                    <w:overflowPunct w:val="0"/>
                    <w:topLinePunct w:val="0"/>
                    <w:autoSpaceDE/>
                    <w:autoSpaceDN/>
                    <w:bidi w:val="0"/>
                    <w:adjustRightInd w:val="0"/>
                    <w:snapToGrid w:val="0"/>
                    <w:spacing w:before="0" w:after="0" w:line="360" w:lineRule="exact"/>
                    <w:ind w:firstLine="0" w:firstLineChars="0"/>
                    <w:jc w:val="center"/>
                    <w:textAlignment w:val="baseline"/>
                    <w:rPr>
                      <w:rFonts w:hint="default" w:ascii="Times New Roman" w:hAnsi="Times New Roman" w:eastAsia="宋体" w:cs="Times New Roman"/>
                      <w:color w:val="000000"/>
                      <w:kern w:val="0"/>
                      <w:sz w:val="21"/>
                      <w:szCs w:val="21"/>
                      <w:highlight w:val="none"/>
                      <w:lang w:val="zh-CN" w:eastAsia="zh-CN" w:bidi="ar-SA"/>
                    </w:rPr>
                  </w:pPr>
                  <w:r>
                    <w:rPr>
                      <w:rFonts w:hint="default" w:ascii="Times New Roman" w:hAnsi="Times New Roman" w:eastAsia="宋体" w:cs="Times New Roman"/>
                      <w:color w:val="000000"/>
                      <w:kern w:val="0"/>
                      <w:sz w:val="21"/>
                      <w:szCs w:val="21"/>
                      <w:highlight w:val="none"/>
                      <w:lang w:val="zh-CN" w:eastAsia="zh-CN" w:bidi="ar-SA"/>
                    </w:rPr>
                    <w:t>陶瓷原料</w:t>
                  </w:r>
                </w:p>
              </w:tc>
              <w:tc>
                <w:tcPr>
                  <w:tcW w:w="866" w:type="pct"/>
                  <w:noWrap w:val="0"/>
                  <w:vAlign w:val="center"/>
                </w:tcPr>
                <w:p w14:paraId="04C22852">
                  <w:pPr>
                    <w:keepNext w:val="0"/>
                    <w:keepLines w:val="0"/>
                    <w:pageBreakBefore w:val="0"/>
                    <w:widowControl w:val="0"/>
                    <w:kinsoku/>
                    <w:wordWrap/>
                    <w:overflowPunct w:val="0"/>
                    <w:topLinePunct w:val="0"/>
                    <w:autoSpaceDE/>
                    <w:autoSpaceDN/>
                    <w:bidi w:val="0"/>
                    <w:adjustRightInd w:val="0"/>
                    <w:snapToGrid w:val="0"/>
                    <w:spacing w:before="0" w:after="0" w:line="360" w:lineRule="exact"/>
                    <w:ind w:firstLine="0" w:firstLineChars="0"/>
                    <w:jc w:val="center"/>
                    <w:textAlignment w:val="baseline"/>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cs="Times New Roman"/>
                      <w:color w:val="000000"/>
                      <w:kern w:val="0"/>
                      <w:sz w:val="21"/>
                      <w:szCs w:val="21"/>
                      <w:highlight w:val="none"/>
                      <w:lang w:val="en-US" w:eastAsia="zh-CN" w:bidi="ar-SA"/>
                    </w:rPr>
                    <w:t>吨包</w:t>
                  </w:r>
                </w:p>
              </w:tc>
              <w:tc>
                <w:tcPr>
                  <w:tcW w:w="1145" w:type="pct"/>
                  <w:noWrap w:val="0"/>
                  <w:vAlign w:val="center"/>
                </w:tcPr>
                <w:p w14:paraId="53A0EAB0">
                  <w:pPr>
                    <w:pStyle w:val="78"/>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Cs w:val="21"/>
                      <w:lang w:val="en-US" w:eastAsia="zh-CN"/>
                    </w:rPr>
                  </w:pPr>
                  <w:r>
                    <w:rPr>
                      <w:rFonts w:hint="eastAsia" w:ascii="Times New Roman" w:hAnsi="Times New Roman" w:cs="Times New Roman"/>
                      <w:color w:val="auto"/>
                      <w:kern w:val="2"/>
                      <w:sz w:val="21"/>
                      <w:szCs w:val="21"/>
                      <w:lang w:val="en-US" w:eastAsia="zh-CN" w:bidi="ar-SA"/>
                    </w:rPr>
                    <w:t>60000吨</w:t>
                  </w:r>
                </w:p>
              </w:tc>
              <w:tc>
                <w:tcPr>
                  <w:tcW w:w="1534" w:type="pct"/>
                  <w:shd w:val="clear" w:color="auto" w:fill="auto"/>
                  <w:noWrap w:val="0"/>
                  <w:vAlign w:val="center"/>
                </w:tcPr>
                <w:p w14:paraId="06768CB2">
                  <w:pPr>
                    <w:pStyle w:val="78"/>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60000吨</w:t>
                  </w:r>
                </w:p>
              </w:tc>
            </w:tr>
          </w:tbl>
          <w:p w14:paraId="43F757F5">
            <w:pPr>
              <w:pStyle w:val="11"/>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p>
          <w:p w14:paraId="1CFDB656">
            <w:pPr>
              <w:pStyle w:val="11"/>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w:t>
            </w:r>
            <w:r>
              <w:rPr>
                <w:rFonts w:hint="eastAsia" w:ascii="Times New Roman" w:hAnsi="Times New Roman" w:cs="Times New Roman"/>
                <w:b/>
                <w:bCs/>
                <w:color w:val="auto"/>
                <w:sz w:val="21"/>
                <w:szCs w:val="21"/>
                <w:lang w:val="en-US" w:eastAsia="zh-CN"/>
              </w:rPr>
              <w:t>2-4</w:t>
            </w:r>
            <w:r>
              <w:rPr>
                <w:rFonts w:hint="default" w:ascii="Times New Roman" w:hAnsi="Times New Roman" w:eastAsia="宋体" w:cs="Times New Roman"/>
                <w:b/>
                <w:bCs/>
                <w:color w:val="auto"/>
                <w:sz w:val="21"/>
                <w:szCs w:val="21"/>
                <w:lang w:val="en-US" w:eastAsia="zh-CN"/>
              </w:rPr>
              <w:t>环保投资</w:t>
            </w:r>
          </w:p>
          <w:tbl>
            <w:tblPr>
              <w:tblStyle w:val="25"/>
              <w:tblW w:w="821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4245"/>
              <w:gridCol w:w="2639"/>
            </w:tblGrid>
            <w:tr w14:paraId="75EF5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1335" w:type="dxa"/>
                  <w:tcBorders>
                    <w:tl2br w:val="nil"/>
                    <w:tr2bl w:val="nil"/>
                  </w:tcBorders>
                  <w:noWrap w:val="0"/>
                  <w:vAlign w:val="center"/>
                </w:tcPr>
                <w:p w14:paraId="1F2C864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eastAsia" w:ascii="Times New Roman" w:hAnsi="Times New Roman" w:cs="Times New Roman"/>
                      <w:b/>
                      <w:bCs/>
                      <w:color w:val="auto"/>
                      <w:sz w:val="21"/>
                      <w:szCs w:val="21"/>
                      <w:lang w:val="en-US" w:eastAsia="zh-CN"/>
                    </w:rPr>
                    <w:t>项目</w:t>
                  </w:r>
                </w:p>
              </w:tc>
              <w:tc>
                <w:tcPr>
                  <w:tcW w:w="4245" w:type="dxa"/>
                  <w:tcBorders>
                    <w:tl2br w:val="nil"/>
                    <w:tr2bl w:val="nil"/>
                  </w:tcBorders>
                  <w:noWrap w:val="0"/>
                  <w:vAlign w:val="center"/>
                </w:tcPr>
                <w:p w14:paraId="46C464C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设备名称</w:t>
                  </w:r>
                </w:p>
              </w:tc>
              <w:tc>
                <w:tcPr>
                  <w:tcW w:w="2639" w:type="dxa"/>
                  <w:tcBorders>
                    <w:tl2br w:val="nil"/>
                    <w:tr2bl w:val="nil"/>
                  </w:tcBorders>
                  <w:noWrap w:val="0"/>
                  <w:vAlign w:val="center"/>
                </w:tcPr>
                <w:p w14:paraId="0511BFC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实际投资（万元）</w:t>
                  </w:r>
                </w:p>
              </w:tc>
            </w:tr>
            <w:tr w14:paraId="09F82A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35" w:type="dxa"/>
                  <w:tcBorders>
                    <w:tl2br w:val="nil"/>
                    <w:tr2bl w:val="nil"/>
                  </w:tcBorders>
                  <w:noWrap w:val="0"/>
                  <w:vAlign w:val="center"/>
                </w:tcPr>
                <w:p w14:paraId="6BD77A8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废气</w:t>
                  </w:r>
                </w:p>
              </w:tc>
              <w:tc>
                <w:tcPr>
                  <w:tcW w:w="4245" w:type="dxa"/>
                  <w:tcBorders>
                    <w:tl2br w:val="nil"/>
                    <w:tr2bl w:val="nil"/>
                  </w:tcBorders>
                  <w:shd w:val="clear" w:color="auto" w:fill="auto"/>
                  <w:noWrap w:val="0"/>
                  <w:vAlign w:val="center"/>
                </w:tcPr>
                <w:p w14:paraId="3F5C1FEE">
                  <w:pPr>
                    <w:autoSpaceDE w:val="0"/>
                    <w:autoSpaceDN w:val="0"/>
                    <w:adjustRightInd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脉冲除尘器、管道、排气筒</w:t>
                  </w:r>
                </w:p>
              </w:tc>
              <w:tc>
                <w:tcPr>
                  <w:tcW w:w="2639" w:type="dxa"/>
                  <w:tcBorders>
                    <w:tl2br w:val="nil"/>
                    <w:tr2bl w:val="nil"/>
                  </w:tcBorders>
                  <w:shd w:val="clear" w:color="auto" w:fill="auto"/>
                  <w:noWrap w:val="0"/>
                  <w:vAlign w:val="center"/>
                </w:tcPr>
                <w:p w14:paraId="7985FF2A">
                  <w:pPr>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r>
            <w:tr w14:paraId="6E907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35" w:type="dxa"/>
                  <w:tcBorders>
                    <w:tl2br w:val="nil"/>
                    <w:tr2bl w:val="nil"/>
                  </w:tcBorders>
                  <w:noWrap w:val="0"/>
                  <w:vAlign w:val="center"/>
                </w:tcPr>
                <w:p w14:paraId="0FAD23B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废水</w:t>
                  </w:r>
                </w:p>
              </w:tc>
              <w:tc>
                <w:tcPr>
                  <w:tcW w:w="4245" w:type="dxa"/>
                  <w:tcBorders>
                    <w:tl2br w:val="nil"/>
                    <w:tr2bl w:val="nil"/>
                  </w:tcBorders>
                  <w:shd w:val="clear" w:color="auto" w:fill="auto"/>
                  <w:noWrap w:val="0"/>
                  <w:vAlign w:val="center"/>
                </w:tcPr>
                <w:p w14:paraId="5196D21D">
                  <w:pPr>
                    <w:autoSpaceDE w:val="0"/>
                    <w:autoSpaceDN w:val="0"/>
                    <w:adjustRightInd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化粪池、沉淀池</w:t>
                  </w:r>
                </w:p>
              </w:tc>
              <w:tc>
                <w:tcPr>
                  <w:tcW w:w="2639" w:type="dxa"/>
                  <w:tcBorders>
                    <w:tl2br w:val="nil"/>
                    <w:tr2bl w:val="nil"/>
                  </w:tcBorders>
                  <w:shd w:val="clear" w:color="auto" w:fill="auto"/>
                  <w:noWrap w:val="0"/>
                  <w:vAlign w:val="center"/>
                </w:tcPr>
                <w:p w14:paraId="6AA923CE">
                  <w:pPr>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p>
              </w:tc>
            </w:tr>
            <w:tr w14:paraId="24DD39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35" w:type="dxa"/>
                  <w:tcBorders>
                    <w:tl2br w:val="nil"/>
                    <w:tr2bl w:val="nil"/>
                  </w:tcBorders>
                  <w:noWrap w:val="0"/>
                  <w:vAlign w:val="center"/>
                </w:tcPr>
                <w:p w14:paraId="76F53FF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固废</w:t>
                  </w:r>
                </w:p>
              </w:tc>
              <w:tc>
                <w:tcPr>
                  <w:tcW w:w="4245" w:type="dxa"/>
                  <w:tcBorders>
                    <w:tl2br w:val="nil"/>
                    <w:tr2bl w:val="nil"/>
                  </w:tcBorders>
                  <w:shd w:val="clear" w:color="auto" w:fill="auto"/>
                  <w:noWrap w:val="0"/>
                  <w:vAlign w:val="center"/>
                </w:tcPr>
                <w:p w14:paraId="493E4301">
                  <w:pPr>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垃圾桶、一般工业固废暂存间</w:t>
                  </w:r>
                </w:p>
              </w:tc>
              <w:tc>
                <w:tcPr>
                  <w:tcW w:w="2639" w:type="dxa"/>
                  <w:tcBorders>
                    <w:tl2br w:val="nil"/>
                    <w:tr2bl w:val="nil"/>
                  </w:tcBorders>
                  <w:shd w:val="clear" w:color="auto" w:fill="auto"/>
                  <w:noWrap w:val="0"/>
                  <w:vAlign w:val="center"/>
                </w:tcPr>
                <w:p w14:paraId="2518CC86">
                  <w:pPr>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w:t>
                  </w:r>
                </w:p>
              </w:tc>
            </w:tr>
            <w:tr w14:paraId="25EEAE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35" w:type="dxa"/>
                  <w:tcBorders>
                    <w:tl2br w:val="nil"/>
                    <w:tr2bl w:val="nil"/>
                  </w:tcBorders>
                  <w:noWrap w:val="0"/>
                  <w:vAlign w:val="center"/>
                </w:tcPr>
                <w:p w14:paraId="451AA45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eastAsia="zh-CN"/>
                    </w:rPr>
                    <w:t>噪声</w:t>
                  </w:r>
                </w:p>
              </w:tc>
              <w:tc>
                <w:tcPr>
                  <w:tcW w:w="4245" w:type="dxa"/>
                  <w:tcBorders>
                    <w:tl2br w:val="nil"/>
                    <w:tr2bl w:val="nil"/>
                  </w:tcBorders>
                  <w:shd w:val="clear" w:color="auto" w:fill="auto"/>
                  <w:noWrap w:val="0"/>
                  <w:vAlign w:val="center"/>
                </w:tcPr>
                <w:p w14:paraId="1DEAAB54">
                  <w:pPr>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隔声、减振</w:t>
                  </w:r>
                  <w:r>
                    <w:rPr>
                      <w:rFonts w:hint="eastAsia" w:ascii="Times New Roman" w:hAnsi="Times New Roman" w:cs="Times New Roman"/>
                      <w:color w:val="000000" w:themeColor="text1"/>
                      <w:szCs w:val="21"/>
                      <w:lang w:val="en-US" w:eastAsia="zh-CN"/>
                      <w14:textFill>
                        <w14:solidFill>
                          <w14:schemeClr w14:val="tx1"/>
                        </w14:solidFill>
                      </w14:textFill>
                    </w:rPr>
                    <w:t>等措施</w:t>
                  </w:r>
                </w:p>
              </w:tc>
              <w:tc>
                <w:tcPr>
                  <w:tcW w:w="2639" w:type="dxa"/>
                  <w:tcBorders>
                    <w:tl2br w:val="nil"/>
                    <w:tr2bl w:val="nil"/>
                  </w:tcBorders>
                  <w:shd w:val="clear" w:color="auto" w:fill="auto"/>
                  <w:noWrap w:val="0"/>
                  <w:vAlign w:val="center"/>
                </w:tcPr>
                <w:p w14:paraId="74008AD0">
                  <w:pPr>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p>
              </w:tc>
            </w:tr>
            <w:tr w14:paraId="794F1E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5580" w:type="dxa"/>
                  <w:gridSpan w:val="2"/>
                  <w:tcBorders>
                    <w:tl2br w:val="nil"/>
                    <w:tr2bl w:val="nil"/>
                  </w:tcBorders>
                  <w:noWrap w:val="0"/>
                  <w:vAlign w:val="center"/>
                </w:tcPr>
                <w:p w14:paraId="2F73F47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合计</w:t>
                  </w:r>
                </w:p>
              </w:tc>
              <w:tc>
                <w:tcPr>
                  <w:tcW w:w="2639" w:type="dxa"/>
                  <w:tcBorders>
                    <w:tl2br w:val="nil"/>
                    <w:tr2bl w:val="nil"/>
                  </w:tcBorders>
                  <w:noWrap w:val="0"/>
                  <w:vAlign w:val="center"/>
                </w:tcPr>
                <w:p w14:paraId="464413A1">
                  <w:pPr>
                    <w:pStyle w:val="62"/>
                    <w:keepLines w:val="0"/>
                    <w:pageBreakBefore w:val="0"/>
                    <w:kinsoku/>
                    <w:wordWrap/>
                    <w:overflowPunct/>
                    <w:topLinePunct w:val="0"/>
                    <w:bidi w:val="0"/>
                    <w:adjustRightInd w:val="0"/>
                    <w:snapToGrid w:val="0"/>
                    <w:spacing w:before="0" w:beforeLines="0" w:beforeAutospacing="0" w:after="0" w:afterLines="0" w:afterAutospacing="0" w:line="240" w:lineRule="auto"/>
                    <w:ind w:left="0" w:leftChars="0" w:right="0" w:rightChars="0"/>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22</w:t>
                  </w:r>
                </w:p>
              </w:tc>
            </w:tr>
          </w:tbl>
          <w:p w14:paraId="03CBF8CC">
            <w:pPr>
              <w:keepNext w:val="0"/>
              <w:keepLines w:val="0"/>
              <w:pageBreakBefore w:val="0"/>
              <w:kinsoku/>
              <w:wordWrap/>
              <w:overflowPunct/>
              <w:topLinePunct w:val="0"/>
              <w:bidi w:val="0"/>
              <w:adjustRightInd w:val="0"/>
              <w:snapToGrid w:val="0"/>
              <w:spacing w:before="62" w:beforeLines="20" w:line="240" w:lineRule="auto"/>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rPr>
              <w:t>原辅材料消耗：</w:t>
            </w:r>
          </w:p>
          <w:p w14:paraId="35E537EE">
            <w:pPr>
              <w:pStyle w:val="11"/>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表2-5 主要原辅材料消耗</w:t>
            </w:r>
          </w:p>
          <w:tbl>
            <w:tblPr>
              <w:tblStyle w:val="24"/>
              <w:tblW w:w="495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050"/>
              <w:gridCol w:w="1245"/>
              <w:gridCol w:w="690"/>
              <w:gridCol w:w="1305"/>
              <w:gridCol w:w="1335"/>
              <w:gridCol w:w="1913"/>
            </w:tblGrid>
            <w:tr w14:paraId="404675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4" w:type="pct"/>
                  <w:noWrap w:val="0"/>
                  <w:vAlign w:val="center"/>
                </w:tcPr>
                <w:p w14:paraId="6721C139">
                  <w:pPr>
                    <w:spacing w:line="340" w:lineRule="exact"/>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cs="Times New Roman"/>
                      <w:b/>
                      <w:bCs/>
                      <w:color w:val="auto"/>
                      <w:szCs w:val="21"/>
                      <w:lang w:val="en-US" w:eastAsia="zh-CN"/>
                    </w:rPr>
                    <w:t>序号</w:t>
                  </w:r>
                </w:p>
              </w:tc>
              <w:tc>
                <w:tcPr>
                  <w:tcW w:w="637" w:type="pct"/>
                  <w:noWrap w:val="0"/>
                  <w:vAlign w:val="center"/>
                </w:tcPr>
                <w:p w14:paraId="252BD2FB">
                  <w:pPr>
                    <w:spacing w:line="340" w:lineRule="exact"/>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名称</w:t>
                  </w:r>
                </w:p>
              </w:tc>
              <w:tc>
                <w:tcPr>
                  <w:tcW w:w="755" w:type="pct"/>
                  <w:noWrap w:val="0"/>
                  <w:vAlign w:val="center"/>
                </w:tcPr>
                <w:p w14:paraId="4036EDFA">
                  <w:pPr>
                    <w:spacing w:line="340" w:lineRule="exact"/>
                    <w:jc w:val="center"/>
                    <w:rPr>
                      <w:rFonts w:hint="eastAsia" w:ascii="Times New Roman" w:hAnsi="Times New Roman" w:eastAsia="宋体" w:cs="Times New Roman"/>
                      <w:b/>
                      <w:bCs/>
                      <w:color w:val="auto"/>
                      <w:szCs w:val="21"/>
                      <w:lang w:val="en-US" w:eastAsia="zh-CN"/>
                    </w:rPr>
                  </w:pPr>
                  <w:r>
                    <w:rPr>
                      <w:rFonts w:hint="eastAsia" w:ascii="Times New Roman" w:hAnsi="Times New Roman" w:cs="Times New Roman"/>
                      <w:b/>
                      <w:bCs/>
                      <w:color w:val="auto"/>
                      <w:szCs w:val="21"/>
                      <w:lang w:val="en-US" w:eastAsia="zh-CN"/>
                    </w:rPr>
                    <w:t>形态</w:t>
                  </w:r>
                </w:p>
              </w:tc>
              <w:tc>
                <w:tcPr>
                  <w:tcW w:w="418" w:type="pct"/>
                  <w:noWrap w:val="0"/>
                  <w:vAlign w:val="center"/>
                </w:tcPr>
                <w:p w14:paraId="19760941">
                  <w:pPr>
                    <w:widowControl/>
                    <w:spacing w:line="340" w:lineRule="exact"/>
                    <w:jc w:val="center"/>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单位</w:t>
                  </w:r>
                </w:p>
              </w:tc>
              <w:tc>
                <w:tcPr>
                  <w:tcW w:w="792" w:type="pct"/>
                  <w:noWrap w:val="0"/>
                  <w:vAlign w:val="center"/>
                </w:tcPr>
                <w:p w14:paraId="237CAD84">
                  <w:pPr>
                    <w:spacing w:line="340" w:lineRule="exact"/>
                    <w:jc w:val="center"/>
                    <w:rPr>
                      <w:rFonts w:hint="eastAsia" w:ascii="Times New Roman" w:hAnsi="Times New Roman" w:cs="Times New Roman"/>
                      <w:b/>
                      <w:bCs/>
                      <w:color w:val="auto"/>
                      <w:kern w:val="2"/>
                      <w:sz w:val="21"/>
                      <w:szCs w:val="21"/>
                      <w:lang w:val="en-US" w:eastAsia="zh-CN" w:bidi="ar-SA"/>
                    </w:rPr>
                  </w:pPr>
                  <w:r>
                    <w:rPr>
                      <w:rFonts w:hint="eastAsia" w:ascii="Times New Roman" w:hAnsi="Times New Roman" w:cs="Times New Roman"/>
                      <w:b/>
                      <w:bCs/>
                      <w:color w:val="auto"/>
                      <w:szCs w:val="21"/>
                      <w:lang w:eastAsia="zh-CN"/>
                    </w:rPr>
                    <w:t>环评</w:t>
                  </w:r>
                  <w:r>
                    <w:rPr>
                      <w:rFonts w:hint="eastAsia" w:ascii="Times New Roman" w:hAnsi="Times New Roman" w:cs="Times New Roman"/>
                      <w:b/>
                      <w:bCs/>
                      <w:color w:val="auto"/>
                      <w:szCs w:val="21"/>
                      <w:lang w:val="en-US" w:eastAsia="zh-CN"/>
                    </w:rPr>
                    <w:t>年</w:t>
                  </w:r>
                  <w:r>
                    <w:rPr>
                      <w:rFonts w:hint="default" w:ascii="Times New Roman" w:hAnsi="Times New Roman" w:cs="Times New Roman"/>
                      <w:b/>
                      <w:bCs/>
                      <w:color w:val="auto"/>
                      <w:szCs w:val="21"/>
                    </w:rPr>
                    <w:t>用量</w:t>
                  </w:r>
                </w:p>
              </w:tc>
              <w:tc>
                <w:tcPr>
                  <w:tcW w:w="810" w:type="pct"/>
                  <w:noWrap w:val="0"/>
                  <w:vAlign w:val="center"/>
                </w:tcPr>
                <w:p w14:paraId="7575E9B4">
                  <w:pPr>
                    <w:spacing w:line="340" w:lineRule="exact"/>
                    <w:jc w:val="center"/>
                    <w:rPr>
                      <w:rFonts w:hint="eastAsia" w:ascii="Times New Roman" w:hAnsi="Times New Roman" w:cs="Times New Roman"/>
                      <w:b/>
                      <w:bCs/>
                      <w:color w:val="auto"/>
                      <w:szCs w:val="21"/>
                      <w:lang w:eastAsia="zh-CN"/>
                    </w:rPr>
                  </w:pPr>
                  <w:r>
                    <w:rPr>
                      <w:rFonts w:hint="eastAsia" w:ascii="Times New Roman" w:hAnsi="Times New Roman" w:cs="Times New Roman"/>
                      <w:b/>
                      <w:bCs/>
                      <w:color w:val="auto"/>
                      <w:szCs w:val="21"/>
                      <w:lang w:val="en-US" w:eastAsia="zh-CN"/>
                    </w:rPr>
                    <w:t>实际年</w:t>
                  </w:r>
                  <w:r>
                    <w:rPr>
                      <w:rFonts w:hint="default" w:ascii="Times New Roman" w:hAnsi="Times New Roman" w:cs="Times New Roman"/>
                      <w:b/>
                      <w:bCs/>
                      <w:color w:val="auto"/>
                      <w:szCs w:val="21"/>
                    </w:rPr>
                    <w:t>用量</w:t>
                  </w:r>
                </w:p>
              </w:tc>
              <w:tc>
                <w:tcPr>
                  <w:tcW w:w="1161" w:type="pct"/>
                  <w:noWrap w:val="0"/>
                  <w:vAlign w:val="center"/>
                </w:tcPr>
                <w:p w14:paraId="4DF3A9C8">
                  <w:pPr>
                    <w:spacing w:line="340" w:lineRule="exact"/>
                    <w:jc w:val="center"/>
                    <w:rPr>
                      <w:rFonts w:hint="default" w:ascii="Times New Roman" w:hAnsi="Times New Roman" w:cs="Times New Roman"/>
                      <w:b/>
                      <w:bCs/>
                      <w:color w:val="auto"/>
                      <w:szCs w:val="21"/>
                      <w:lang w:val="en-US" w:eastAsia="zh-CN"/>
                    </w:rPr>
                  </w:pPr>
                  <w:r>
                    <w:rPr>
                      <w:rFonts w:hint="eastAsia" w:ascii="Times New Roman" w:hAnsi="Times New Roman" w:cs="Times New Roman"/>
                      <w:b/>
                      <w:bCs/>
                      <w:color w:val="auto"/>
                      <w:szCs w:val="21"/>
                      <w:lang w:val="en-US" w:eastAsia="zh-CN"/>
                    </w:rPr>
                    <w:t>备注</w:t>
                  </w:r>
                </w:p>
              </w:tc>
            </w:tr>
            <w:tr w14:paraId="6EA7DE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000" w:type="pct"/>
                  <w:gridSpan w:val="7"/>
                  <w:noWrap w:val="0"/>
                  <w:vAlign w:val="center"/>
                </w:tcPr>
                <w:p w14:paraId="7471C5E5">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一、原辅材料</w:t>
                  </w:r>
                </w:p>
              </w:tc>
            </w:tr>
            <w:tr w14:paraId="206A2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4" w:type="pct"/>
                  <w:noWrap w:val="0"/>
                  <w:vAlign w:val="center"/>
                </w:tcPr>
                <w:p w14:paraId="54D6BC63">
                  <w:pPr>
                    <w:spacing w:line="3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w:t>
                  </w:r>
                </w:p>
              </w:tc>
              <w:tc>
                <w:tcPr>
                  <w:tcW w:w="637" w:type="pct"/>
                  <w:shd w:val="clear" w:color="auto" w:fill="auto"/>
                  <w:noWrap w:val="0"/>
                  <w:vAlign w:val="center"/>
                </w:tcPr>
                <w:p w14:paraId="5CDFE82F">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钠长石</w:t>
                  </w:r>
                </w:p>
              </w:tc>
              <w:tc>
                <w:tcPr>
                  <w:tcW w:w="755" w:type="pct"/>
                  <w:shd w:val="clear" w:color="auto" w:fill="auto"/>
                  <w:noWrap w:val="0"/>
                  <w:vAlign w:val="center"/>
                </w:tcPr>
                <w:p w14:paraId="1928414B">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0E09D48D">
                  <w:pPr>
                    <w:keepNext w:val="0"/>
                    <w:keepLines w:val="0"/>
                    <w:pageBreakBefore w:val="0"/>
                    <w:kinsoku/>
                    <w:wordWrap/>
                    <w:overflowPunct/>
                    <w:topLinePunct w:val="0"/>
                    <w:autoSpaceDE/>
                    <w:autoSpaceDN/>
                    <w:bidi w:val="0"/>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3AD6782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22500</w:t>
                  </w:r>
                </w:p>
              </w:tc>
              <w:tc>
                <w:tcPr>
                  <w:tcW w:w="810" w:type="pct"/>
                  <w:shd w:val="clear" w:color="auto" w:fill="auto"/>
                  <w:noWrap w:val="0"/>
                  <w:vAlign w:val="center"/>
                </w:tcPr>
                <w:p w14:paraId="7B3A27E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22500</w:t>
                  </w:r>
                </w:p>
              </w:tc>
              <w:tc>
                <w:tcPr>
                  <w:tcW w:w="1161" w:type="pct"/>
                  <w:shd w:val="clear" w:color="auto" w:fill="auto"/>
                  <w:noWrap w:val="0"/>
                  <w:vAlign w:val="center"/>
                </w:tcPr>
                <w:p w14:paraId="5F1CEC22">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525</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4D8EF3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24" w:type="pct"/>
                  <w:noWrap w:val="0"/>
                  <w:vAlign w:val="center"/>
                </w:tcPr>
                <w:p w14:paraId="594C0579">
                  <w:pPr>
                    <w:spacing w:line="3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w:t>
                  </w:r>
                </w:p>
              </w:tc>
              <w:tc>
                <w:tcPr>
                  <w:tcW w:w="637" w:type="pct"/>
                  <w:shd w:val="clear" w:color="auto" w:fill="auto"/>
                  <w:noWrap w:val="0"/>
                  <w:vAlign w:val="center"/>
                </w:tcPr>
                <w:p w14:paraId="1AB1E66F">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钾长石</w:t>
                  </w:r>
                </w:p>
              </w:tc>
              <w:tc>
                <w:tcPr>
                  <w:tcW w:w="755" w:type="pct"/>
                  <w:shd w:val="clear" w:color="auto" w:fill="auto"/>
                  <w:noWrap w:val="0"/>
                  <w:vAlign w:val="center"/>
                </w:tcPr>
                <w:p w14:paraId="38FE7F5C">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4CF1672E">
                  <w:pPr>
                    <w:keepNext w:val="0"/>
                    <w:keepLines w:val="0"/>
                    <w:pageBreakBefore w:val="0"/>
                    <w:kinsoku/>
                    <w:wordWrap/>
                    <w:overflowPunct/>
                    <w:topLinePunct w:val="0"/>
                    <w:autoSpaceDE/>
                    <w:autoSpaceDN/>
                    <w:bidi w:val="0"/>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41FDF39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7500</w:t>
                  </w:r>
                </w:p>
              </w:tc>
              <w:tc>
                <w:tcPr>
                  <w:tcW w:w="810" w:type="pct"/>
                  <w:shd w:val="clear" w:color="auto" w:fill="auto"/>
                  <w:noWrap w:val="0"/>
                  <w:vAlign w:val="center"/>
                </w:tcPr>
                <w:p w14:paraId="37791A8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7500</w:t>
                  </w:r>
                </w:p>
              </w:tc>
              <w:tc>
                <w:tcPr>
                  <w:tcW w:w="1161" w:type="pct"/>
                  <w:shd w:val="clear" w:color="auto" w:fill="auto"/>
                  <w:noWrap w:val="0"/>
                  <w:vAlign w:val="center"/>
                </w:tcPr>
                <w:p w14:paraId="29B35A75">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350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6A0706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24" w:type="pct"/>
                  <w:noWrap w:val="0"/>
                  <w:vAlign w:val="center"/>
                </w:tcPr>
                <w:p w14:paraId="7A2D10A0">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3</w:t>
                  </w:r>
                </w:p>
              </w:tc>
              <w:tc>
                <w:tcPr>
                  <w:tcW w:w="637" w:type="pct"/>
                  <w:shd w:val="clear" w:color="auto" w:fill="auto"/>
                  <w:noWrap w:val="0"/>
                  <w:vAlign w:val="center"/>
                </w:tcPr>
                <w:p w14:paraId="1EA17210">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石英</w:t>
                  </w:r>
                </w:p>
              </w:tc>
              <w:tc>
                <w:tcPr>
                  <w:tcW w:w="755" w:type="pct"/>
                  <w:shd w:val="clear" w:color="auto" w:fill="auto"/>
                  <w:noWrap w:val="0"/>
                  <w:vAlign w:val="center"/>
                </w:tcPr>
                <w:p w14:paraId="39C4FFC7">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7222913D">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168C142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6000</w:t>
                  </w:r>
                </w:p>
              </w:tc>
              <w:tc>
                <w:tcPr>
                  <w:tcW w:w="810" w:type="pct"/>
                  <w:shd w:val="clear" w:color="auto" w:fill="auto"/>
                  <w:noWrap w:val="0"/>
                  <w:vAlign w:val="center"/>
                </w:tcPr>
                <w:p w14:paraId="111F09E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6000</w:t>
                  </w:r>
                </w:p>
              </w:tc>
              <w:tc>
                <w:tcPr>
                  <w:tcW w:w="1161" w:type="pct"/>
                  <w:shd w:val="clear" w:color="auto" w:fill="auto"/>
                  <w:noWrap w:val="0"/>
                  <w:vAlign w:val="center"/>
                </w:tcPr>
                <w:p w14:paraId="37E02297">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280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03F41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24" w:type="pct"/>
                  <w:noWrap w:val="0"/>
                  <w:vAlign w:val="center"/>
                </w:tcPr>
                <w:p w14:paraId="2732D21E">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4</w:t>
                  </w:r>
                </w:p>
              </w:tc>
              <w:tc>
                <w:tcPr>
                  <w:tcW w:w="637" w:type="pct"/>
                  <w:shd w:val="clear" w:color="auto" w:fill="auto"/>
                  <w:noWrap w:val="0"/>
                  <w:vAlign w:val="center"/>
                </w:tcPr>
                <w:p w14:paraId="4E16F98C">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高岭土</w:t>
                  </w:r>
                </w:p>
              </w:tc>
              <w:tc>
                <w:tcPr>
                  <w:tcW w:w="755" w:type="pct"/>
                  <w:shd w:val="clear" w:color="auto" w:fill="auto"/>
                  <w:noWrap w:val="0"/>
                  <w:vAlign w:val="center"/>
                </w:tcPr>
                <w:p w14:paraId="262370A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672C214F">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51E3743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4825.42</w:t>
                  </w:r>
                </w:p>
              </w:tc>
              <w:tc>
                <w:tcPr>
                  <w:tcW w:w="810" w:type="pct"/>
                  <w:shd w:val="clear" w:color="auto" w:fill="auto"/>
                  <w:noWrap w:val="0"/>
                  <w:vAlign w:val="center"/>
                </w:tcPr>
                <w:p w14:paraId="4A8C2E9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4825.42</w:t>
                  </w:r>
                </w:p>
              </w:tc>
              <w:tc>
                <w:tcPr>
                  <w:tcW w:w="1161" w:type="pct"/>
                  <w:shd w:val="clear" w:color="auto" w:fill="auto"/>
                  <w:noWrap w:val="0"/>
                  <w:vAlign w:val="center"/>
                </w:tcPr>
                <w:p w14:paraId="294091DE">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225</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1E318A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6A53E455">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w:t>
                  </w:r>
                </w:p>
              </w:tc>
              <w:tc>
                <w:tcPr>
                  <w:tcW w:w="637" w:type="pct"/>
                  <w:shd w:val="clear" w:color="auto" w:fill="auto"/>
                  <w:noWrap w:val="0"/>
                  <w:vAlign w:val="center"/>
                </w:tcPr>
                <w:p w14:paraId="78EF39D2">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白云石</w:t>
                  </w:r>
                </w:p>
              </w:tc>
              <w:tc>
                <w:tcPr>
                  <w:tcW w:w="755" w:type="pct"/>
                  <w:shd w:val="clear" w:color="auto" w:fill="auto"/>
                  <w:noWrap w:val="0"/>
                  <w:vAlign w:val="center"/>
                </w:tcPr>
                <w:p w14:paraId="049CA1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5CF9C304">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1B397FD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4500</w:t>
                  </w:r>
                </w:p>
              </w:tc>
              <w:tc>
                <w:tcPr>
                  <w:tcW w:w="810" w:type="pct"/>
                  <w:shd w:val="clear" w:color="auto" w:fill="auto"/>
                  <w:noWrap w:val="0"/>
                  <w:vAlign w:val="center"/>
                </w:tcPr>
                <w:p w14:paraId="3DC6C060">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4500</w:t>
                  </w:r>
                </w:p>
              </w:tc>
              <w:tc>
                <w:tcPr>
                  <w:tcW w:w="1161" w:type="pct"/>
                  <w:shd w:val="clear" w:color="auto" w:fill="auto"/>
                  <w:noWrap w:val="0"/>
                  <w:vAlign w:val="center"/>
                </w:tcPr>
                <w:p w14:paraId="1E9C0832">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210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746433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5744D185">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6</w:t>
                  </w:r>
                </w:p>
              </w:tc>
              <w:tc>
                <w:tcPr>
                  <w:tcW w:w="637" w:type="pct"/>
                  <w:shd w:val="clear" w:color="auto" w:fill="auto"/>
                  <w:noWrap w:val="0"/>
                  <w:vAlign w:val="center"/>
                </w:tcPr>
                <w:p w14:paraId="0E775863">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硅灰石</w:t>
                  </w:r>
                </w:p>
              </w:tc>
              <w:tc>
                <w:tcPr>
                  <w:tcW w:w="755" w:type="pct"/>
                  <w:shd w:val="clear" w:color="auto" w:fill="auto"/>
                  <w:noWrap w:val="0"/>
                  <w:vAlign w:val="center"/>
                </w:tcPr>
                <w:p w14:paraId="350417C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30243C12">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10631B9D">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1500</w:t>
                  </w:r>
                </w:p>
              </w:tc>
              <w:tc>
                <w:tcPr>
                  <w:tcW w:w="810" w:type="pct"/>
                  <w:shd w:val="clear" w:color="auto" w:fill="auto"/>
                  <w:noWrap w:val="0"/>
                  <w:vAlign w:val="center"/>
                </w:tcPr>
                <w:p w14:paraId="225AC48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1500</w:t>
                  </w:r>
                </w:p>
              </w:tc>
              <w:tc>
                <w:tcPr>
                  <w:tcW w:w="1161" w:type="pct"/>
                  <w:shd w:val="clear" w:color="auto" w:fill="auto"/>
                  <w:noWrap w:val="0"/>
                  <w:vAlign w:val="center"/>
                </w:tcPr>
                <w:p w14:paraId="4ADF8F78">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3</w:t>
                  </w:r>
                  <w:r>
                    <w:rPr>
                      <w:rFonts w:hint="default" w:ascii="Times New Roman" w:hAnsi="Times New Roman" w:eastAsia="宋体" w:cs="Times New Roman"/>
                      <w:b w:val="0"/>
                      <w:i w:val="0"/>
                      <w:caps w:val="0"/>
                      <w:color w:val="auto"/>
                      <w:spacing w:val="0"/>
                      <w:w w:val="100"/>
                      <w:kern w:val="2"/>
                      <w:sz w:val="21"/>
                      <w:szCs w:val="21"/>
                      <w:lang w:val="en-US" w:eastAsia="zh-CN" w:bidi="ar-SA"/>
                    </w:rPr>
                    <w:t>00t</w:t>
                  </w:r>
                </w:p>
              </w:tc>
            </w:tr>
            <w:tr w14:paraId="3E5852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781D2A6A">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w:t>
                  </w:r>
                </w:p>
              </w:tc>
              <w:tc>
                <w:tcPr>
                  <w:tcW w:w="637" w:type="pct"/>
                  <w:shd w:val="clear" w:color="auto" w:fill="auto"/>
                  <w:noWrap w:val="0"/>
                  <w:vAlign w:val="center"/>
                </w:tcPr>
                <w:p w14:paraId="6DC87CEB">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氧化铝</w:t>
                  </w:r>
                </w:p>
              </w:tc>
              <w:tc>
                <w:tcPr>
                  <w:tcW w:w="755" w:type="pct"/>
                  <w:shd w:val="clear" w:color="auto" w:fill="auto"/>
                  <w:noWrap w:val="0"/>
                  <w:vAlign w:val="center"/>
                </w:tcPr>
                <w:p w14:paraId="7B2FBF7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062ABFB4">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6D87303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5100</w:t>
                  </w:r>
                </w:p>
              </w:tc>
              <w:tc>
                <w:tcPr>
                  <w:tcW w:w="810" w:type="pct"/>
                  <w:shd w:val="clear" w:color="auto" w:fill="auto"/>
                  <w:noWrap w:val="0"/>
                  <w:vAlign w:val="center"/>
                </w:tcPr>
                <w:p w14:paraId="5E76629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5100</w:t>
                  </w:r>
                </w:p>
              </w:tc>
              <w:tc>
                <w:tcPr>
                  <w:tcW w:w="1161" w:type="pct"/>
                  <w:shd w:val="clear" w:color="auto" w:fill="auto"/>
                  <w:noWrap w:val="0"/>
                  <w:vAlign w:val="center"/>
                </w:tcPr>
                <w:p w14:paraId="7A37E2AE">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510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69026B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6D13E8E9">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8</w:t>
                  </w:r>
                </w:p>
              </w:tc>
              <w:tc>
                <w:tcPr>
                  <w:tcW w:w="637" w:type="pct"/>
                  <w:shd w:val="clear" w:color="auto" w:fill="auto"/>
                  <w:noWrap w:val="0"/>
                  <w:vAlign w:val="center"/>
                </w:tcPr>
                <w:p w14:paraId="0D34C073">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烧土</w:t>
                  </w:r>
                </w:p>
              </w:tc>
              <w:tc>
                <w:tcPr>
                  <w:tcW w:w="755" w:type="pct"/>
                  <w:shd w:val="clear" w:color="auto" w:fill="auto"/>
                  <w:noWrap w:val="0"/>
                  <w:vAlign w:val="center"/>
                </w:tcPr>
                <w:p w14:paraId="616C841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3DB34DFE">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7347494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2700</w:t>
                  </w:r>
                </w:p>
              </w:tc>
              <w:tc>
                <w:tcPr>
                  <w:tcW w:w="810" w:type="pct"/>
                  <w:shd w:val="clear" w:color="auto" w:fill="auto"/>
                  <w:noWrap w:val="0"/>
                  <w:vAlign w:val="center"/>
                </w:tcPr>
                <w:p w14:paraId="74586C9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2700</w:t>
                  </w:r>
                </w:p>
              </w:tc>
              <w:tc>
                <w:tcPr>
                  <w:tcW w:w="1161" w:type="pct"/>
                  <w:shd w:val="clear" w:color="auto" w:fill="auto"/>
                  <w:noWrap w:val="0"/>
                  <w:vAlign w:val="center"/>
                </w:tcPr>
                <w:p w14:paraId="4E4F49E6">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270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34C6A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6231097E">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9</w:t>
                  </w:r>
                </w:p>
              </w:tc>
              <w:tc>
                <w:tcPr>
                  <w:tcW w:w="637" w:type="pct"/>
                  <w:shd w:val="clear" w:color="auto" w:fill="auto"/>
                  <w:noWrap w:val="0"/>
                  <w:vAlign w:val="center"/>
                </w:tcPr>
                <w:p w14:paraId="1EC62626">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烧滑石</w:t>
                  </w:r>
                </w:p>
              </w:tc>
              <w:tc>
                <w:tcPr>
                  <w:tcW w:w="755" w:type="pct"/>
                  <w:shd w:val="clear" w:color="auto" w:fill="auto"/>
                  <w:noWrap w:val="0"/>
                  <w:vAlign w:val="center"/>
                </w:tcPr>
                <w:p w14:paraId="2945C69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bCs/>
                      <w:i w:val="0"/>
                      <w:caps w:val="0"/>
                      <w:color w:val="auto"/>
                      <w:spacing w:val="0"/>
                      <w:w w:val="100"/>
                      <w:kern w:val="2"/>
                      <w:sz w:val="21"/>
                      <w:szCs w:val="21"/>
                      <w:lang w:val="en-US" w:eastAsia="zh-CN" w:bidi="ar-SA"/>
                    </w:rPr>
                    <w:t>固态</w:t>
                  </w:r>
                </w:p>
              </w:tc>
              <w:tc>
                <w:tcPr>
                  <w:tcW w:w="418" w:type="pct"/>
                  <w:noWrap w:val="0"/>
                  <w:vAlign w:val="center"/>
                </w:tcPr>
                <w:p w14:paraId="2E0E7D84">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2E3CB5B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3300</w:t>
                  </w:r>
                </w:p>
              </w:tc>
              <w:tc>
                <w:tcPr>
                  <w:tcW w:w="810" w:type="pct"/>
                  <w:shd w:val="clear" w:color="auto" w:fill="auto"/>
                  <w:noWrap w:val="0"/>
                  <w:vAlign w:val="center"/>
                </w:tcPr>
                <w:p w14:paraId="6D67E25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3300</w:t>
                  </w:r>
                </w:p>
              </w:tc>
              <w:tc>
                <w:tcPr>
                  <w:tcW w:w="1161" w:type="pct"/>
                  <w:shd w:val="clear" w:color="auto" w:fill="auto"/>
                  <w:noWrap w:val="0"/>
                  <w:vAlign w:val="center"/>
                </w:tcPr>
                <w:p w14:paraId="749DEB55">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330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5C1BBC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6479A984">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10</w:t>
                  </w:r>
                </w:p>
              </w:tc>
              <w:tc>
                <w:tcPr>
                  <w:tcW w:w="637" w:type="pct"/>
                  <w:shd w:val="clear" w:color="auto" w:fill="auto"/>
                  <w:noWrap w:val="0"/>
                  <w:vAlign w:val="center"/>
                </w:tcPr>
                <w:p w14:paraId="1FF5F35B">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方解石</w:t>
                  </w:r>
                </w:p>
              </w:tc>
              <w:tc>
                <w:tcPr>
                  <w:tcW w:w="755" w:type="pct"/>
                  <w:shd w:val="clear" w:color="auto" w:fill="auto"/>
                  <w:noWrap w:val="0"/>
                  <w:vAlign w:val="center"/>
                </w:tcPr>
                <w:p w14:paraId="38BCB5D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eastAsia="宋体" w:cs="Times New Roman"/>
                      <w:b w:val="0"/>
                      <w:bCs/>
                      <w:i w:val="0"/>
                      <w:caps w:val="0"/>
                      <w:color w:val="auto"/>
                      <w:spacing w:val="0"/>
                      <w:w w:val="100"/>
                      <w:kern w:val="2"/>
                      <w:sz w:val="21"/>
                      <w:szCs w:val="21"/>
                      <w:lang w:val="en-US" w:eastAsia="zh-CN" w:bidi="ar-SA"/>
                    </w:rPr>
                    <w:t>固态</w:t>
                  </w:r>
                </w:p>
              </w:tc>
              <w:tc>
                <w:tcPr>
                  <w:tcW w:w="418" w:type="pct"/>
                  <w:noWrap w:val="0"/>
                  <w:vAlign w:val="center"/>
                </w:tcPr>
                <w:p w14:paraId="437AAD5C">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7F1D279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600</w:t>
                  </w:r>
                </w:p>
              </w:tc>
              <w:tc>
                <w:tcPr>
                  <w:tcW w:w="810" w:type="pct"/>
                  <w:shd w:val="clear" w:color="auto" w:fill="auto"/>
                  <w:noWrap w:val="0"/>
                  <w:vAlign w:val="center"/>
                </w:tcPr>
                <w:p w14:paraId="6BA5036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600</w:t>
                  </w:r>
                </w:p>
              </w:tc>
              <w:tc>
                <w:tcPr>
                  <w:tcW w:w="1161" w:type="pct"/>
                  <w:shd w:val="clear" w:color="auto" w:fill="auto"/>
                  <w:noWrap w:val="0"/>
                  <w:vAlign w:val="center"/>
                </w:tcPr>
                <w:p w14:paraId="06905CBC">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120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33A2CA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2C1041AE">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11</w:t>
                  </w:r>
                </w:p>
              </w:tc>
              <w:tc>
                <w:tcPr>
                  <w:tcW w:w="637" w:type="pct"/>
                  <w:shd w:val="clear" w:color="auto" w:fill="auto"/>
                  <w:noWrap w:val="0"/>
                  <w:vAlign w:val="center"/>
                </w:tcPr>
                <w:p w14:paraId="38074DB3">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碳酸钡</w:t>
                  </w:r>
                </w:p>
              </w:tc>
              <w:tc>
                <w:tcPr>
                  <w:tcW w:w="755" w:type="pct"/>
                  <w:shd w:val="clear" w:color="auto" w:fill="auto"/>
                  <w:noWrap w:val="0"/>
                  <w:vAlign w:val="center"/>
                </w:tcPr>
                <w:p w14:paraId="058C5E3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eastAsia="宋体" w:cs="Times New Roman"/>
                      <w:b w:val="0"/>
                      <w:bCs/>
                      <w:i w:val="0"/>
                      <w:caps w:val="0"/>
                      <w:color w:val="auto"/>
                      <w:spacing w:val="0"/>
                      <w:w w:val="100"/>
                      <w:kern w:val="2"/>
                      <w:sz w:val="21"/>
                      <w:szCs w:val="21"/>
                      <w:lang w:val="en-US" w:eastAsia="zh-CN" w:bidi="ar-SA"/>
                    </w:rPr>
                    <w:t>固态</w:t>
                  </w:r>
                </w:p>
              </w:tc>
              <w:tc>
                <w:tcPr>
                  <w:tcW w:w="418" w:type="pct"/>
                  <w:noWrap w:val="0"/>
                  <w:vAlign w:val="center"/>
                </w:tcPr>
                <w:p w14:paraId="01C1BA94">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6E206FF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810" w:type="pct"/>
                  <w:shd w:val="clear" w:color="auto" w:fill="auto"/>
                  <w:noWrap w:val="0"/>
                  <w:vAlign w:val="center"/>
                </w:tcPr>
                <w:p w14:paraId="71A8F8A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1161" w:type="pct"/>
                  <w:shd w:val="clear" w:color="auto" w:fill="auto"/>
                  <w:noWrap w:val="0"/>
                  <w:vAlign w:val="center"/>
                </w:tcPr>
                <w:p w14:paraId="5D017E0C">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240</w:t>
                  </w:r>
                  <w:r>
                    <w:rPr>
                      <w:rFonts w:hint="default" w:ascii="Times New Roman" w:hAnsi="Times New Roman" w:eastAsia="宋体" w:cs="Times New Roman"/>
                      <w:b w:val="0"/>
                      <w:i w:val="0"/>
                      <w:caps w:val="0"/>
                      <w:color w:val="auto"/>
                      <w:spacing w:val="0"/>
                      <w:w w:val="100"/>
                      <w:kern w:val="2"/>
                      <w:sz w:val="21"/>
                      <w:szCs w:val="21"/>
                      <w:lang w:val="en-US" w:eastAsia="zh-CN" w:bidi="ar-SA"/>
                    </w:rPr>
                    <w:t>t</w:t>
                  </w:r>
                </w:p>
              </w:tc>
            </w:tr>
            <w:tr w14:paraId="54F58C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668AD613">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12</w:t>
                  </w:r>
                </w:p>
              </w:tc>
              <w:tc>
                <w:tcPr>
                  <w:tcW w:w="637" w:type="pct"/>
                  <w:shd w:val="clear" w:color="auto" w:fill="auto"/>
                  <w:noWrap w:val="0"/>
                  <w:vAlign w:val="center"/>
                </w:tcPr>
                <w:p w14:paraId="0D6398F3">
                  <w:pPr>
                    <w:snapToGrid/>
                    <w:spacing w:before="0" w:beforeAutospacing="0" w:after="0" w:afterAutospacing="0" w:line="240" w:lineRule="auto"/>
                    <w:jc w:val="center"/>
                    <w:textAlignment w:val="baseline"/>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cs="Times New Roman"/>
                      <w:b w:val="0"/>
                      <w:bCs/>
                      <w:i w:val="0"/>
                      <w:caps w:val="0"/>
                      <w:color w:val="auto"/>
                      <w:spacing w:val="0"/>
                      <w:w w:val="100"/>
                      <w:sz w:val="21"/>
                      <w:szCs w:val="21"/>
                      <w:lang w:val="en-US" w:eastAsia="zh-CN"/>
                    </w:rPr>
                    <w:t>霞石</w:t>
                  </w:r>
                </w:p>
              </w:tc>
              <w:tc>
                <w:tcPr>
                  <w:tcW w:w="755" w:type="pct"/>
                  <w:shd w:val="clear" w:color="auto" w:fill="auto"/>
                  <w:noWrap w:val="0"/>
                  <w:vAlign w:val="center"/>
                </w:tcPr>
                <w:p w14:paraId="57E9F44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i w:val="0"/>
                      <w:caps w:val="0"/>
                      <w:color w:val="auto"/>
                      <w:spacing w:val="0"/>
                      <w:w w:val="100"/>
                      <w:kern w:val="2"/>
                      <w:sz w:val="21"/>
                      <w:szCs w:val="21"/>
                      <w:lang w:val="en-US" w:eastAsia="zh-CN" w:bidi="ar-SA"/>
                    </w:rPr>
                  </w:pPr>
                  <w:r>
                    <w:rPr>
                      <w:rFonts w:hint="default" w:ascii="Times New Roman" w:hAnsi="Times New Roman" w:eastAsia="宋体" w:cs="Times New Roman"/>
                      <w:b w:val="0"/>
                      <w:bCs/>
                      <w:i w:val="0"/>
                      <w:caps w:val="0"/>
                      <w:color w:val="auto"/>
                      <w:spacing w:val="0"/>
                      <w:w w:val="100"/>
                      <w:kern w:val="2"/>
                      <w:sz w:val="21"/>
                      <w:szCs w:val="21"/>
                      <w:lang w:val="en-US" w:eastAsia="zh-CN" w:bidi="ar-SA"/>
                    </w:rPr>
                    <w:t>固态</w:t>
                  </w:r>
                </w:p>
              </w:tc>
              <w:tc>
                <w:tcPr>
                  <w:tcW w:w="418" w:type="pct"/>
                  <w:noWrap w:val="0"/>
                  <w:vAlign w:val="center"/>
                </w:tcPr>
                <w:p w14:paraId="25AEB8A3">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SA"/>
                    </w:rPr>
                    <w:t>t</w:t>
                  </w:r>
                </w:p>
              </w:tc>
              <w:tc>
                <w:tcPr>
                  <w:tcW w:w="792" w:type="pct"/>
                  <w:shd w:val="clear" w:color="auto" w:fill="auto"/>
                  <w:noWrap w:val="0"/>
                  <w:vAlign w:val="center"/>
                </w:tcPr>
                <w:p w14:paraId="4894893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810" w:type="pct"/>
                  <w:shd w:val="clear" w:color="auto" w:fill="auto"/>
                  <w:noWrap w:val="0"/>
                  <w:vAlign w:val="center"/>
                </w:tcPr>
                <w:p w14:paraId="16C2EFB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1161" w:type="pct"/>
                  <w:shd w:val="clear" w:color="auto" w:fill="auto"/>
                  <w:noWrap w:val="0"/>
                  <w:vAlign w:val="center"/>
                </w:tcPr>
                <w:p w14:paraId="37837224">
                  <w:pPr>
                    <w:snapToGrid/>
                    <w:spacing w:before="0" w:beforeAutospacing="0" w:after="0" w:afterAutospacing="0" w:line="240" w:lineRule="auto"/>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i w:val="0"/>
                      <w:caps w:val="0"/>
                      <w:color w:val="auto"/>
                      <w:spacing w:val="0"/>
                      <w:w w:val="100"/>
                      <w:kern w:val="2"/>
                      <w:sz w:val="21"/>
                      <w:szCs w:val="21"/>
                      <w:lang w:val="en-US" w:eastAsia="zh-CN" w:bidi="ar-SA"/>
                    </w:rPr>
                    <w:t>最大储存量</w:t>
                  </w:r>
                  <w:r>
                    <w:rPr>
                      <w:rFonts w:hint="eastAsia" w:ascii="Times New Roman" w:hAnsi="Times New Roman" w:eastAsia="宋体" w:cs="Times New Roman"/>
                      <w:b w:val="0"/>
                      <w:i w:val="0"/>
                      <w:caps w:val="0"/>
                      <w:color w:val="auto"/>
                      <w:spacing w:val="0"/>
                      <w:w w:val="100"/>
                      <w:kern w:val="2"/>
                      <w:sz w:val="21"/>
                      <w:szCs w:val="21"/>
                      <w:lang w:val="en-US" w:eastAsia="zh-CN" w:bidi="ar-SA"/>
                    </w:rPr>
                    <w:t>6</w:t>
                  </w:r>
                  <w:r>
                    <w:rPr>
                      <w:rFonts w:hint="default" w:ascii="Times New Roman" w:hAnsi="Times New Roman" w:eastAsia="宋体" w:cs="Times New Roman"/>
                      <w:b w:val="0"/>
                      <w:i w:val="0"/>
                      <w:caps w:val="0"/>
                      <w:color w:val="auto"/>
                      <w:spacing w:val="0"/>
                      <w:w w:val="100"/>
                      <w:kern w:val="2"/>
                      <w:sz w:val="21"/>
                      <w:szCs w:val="21"/>
                      <w:lang w:val="en-US" w:eastAsia="zh-CN" w:bidi="ar-SA"/>
                    </w:rPr>
                    <w:t>0t</w:t>
                  </w:r>
                </w:p>
              </w:tc>
            </w:tr>
            <w:tr w14:paraId="0D4D49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000" w:type="pct"/>
                  <w:gridSpan w:val="7"/>
                  <w:noWrap w:val="0"/>
                  <w:vAlign w:val="center"/>
                </w:tcPr>
                <w:p w14:paraId="4A4FC1BE">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Fonts w:hint="default" w:ascii="Times New Roman" w:hAnsi="Times New Roman" w:eastAsia="宋体" w:cs="Times New Roman"/>
                      <w:b/>
                      <w:bCs/>
                      <w:i w:val="0"/>
                      <w:caps w:val="0"/>
                      <w:color w:val="auto"/>
                      <w:spacing w:val="0"/>
                      <w:w w:val="100"/>
                      <w:kern w:val="2"/>
                      <w:sz w:val="21"/>
                      <w:szCs w:val="21"/>
                      <w:lang w:val="en-US" w:eastAsia="zh-CN" w:bidi="ar-SA"/>
                    </w:rPr>
                    <w:t>注：严禁使用有毒有害原料</w:t>
                  </w:r>
                  <w:r>
                    <w:rPr>
                      <w:rFonts w:hint="eastAsia" w:ascii="Times New Roman" w:hAnsi="Times New Roman" w:eastAsia="宋体" w:cs="Times New Roman"/>
                      <w:b/>
                      <w:bCs/>
                      <w:i w:val="0"/>
                      <w:caps w:val="0"/>
                      <w:color w:val="auto"/>
                      <w:spacing w:val="0"/>
                      <w:w w:val="100"/>
                      <w:kern w:val="2"/>
                      <w:sz w:val="21"/>
                      <w:szCs w:val="21"/>
                      <w:lang w:val="en-US" w:eastAsia="zh-CN" w:bidi="ar-SA"/>
                    </w:rPr>
                    <w:t>。</w:t>
                  </w:r>
                </w:p>
              </w:tc>
            </w:tr>
            <w:tr w14:paraId="017395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000" w:type="pct"/>
                  <w:gridSpan w:val="7"/>
                  <w:noWrap w:val="0"/>
                  <w:vAlign w:val="center"/>
                </w:tcPr>
                <w:p w14:paraId="69E7BA4E">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000000"/>
                      <w:spacing w:val="0"/>
                      <w:w w:val="100"/>
                      <w:kern w:val="2"/>
                      <w:sz w:val="21"/>
                      <w:szCs w:val="21"/>
                      <w:lang w:val="en-US" w:eastAsia="zh-CN" w:bidi="ar-SA"/>
                    </w:rPr>
                  </w:pPr>
                  <w:r>
                    <w:rPr>
                      <w:rFonts w:hint="eastAsia" w:ascii="Times New Roman" w:hAnsi="Times New Roman" w:cs="Times New Roman"/>
                      <w:color w:val="auto"/>
                      <w:kern w:val="2"/>
                      <w:sz w:val="21"/>
                      <w:szCs w:val="21"/>
                      <w:lang w:val="en-US" w:eastAsia="zh-CN" w:bidi="ar-SA"/>
                    </w:rPr>
                    <w:t>二、能源消耗</w:t>
                  </w:r>
                </w:p>
              </w:tc>
            </w:tr>
            <w:tr w14:paraId="042A7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0E1303B4">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w:t>
                  </w:r>
                </w:p>
              </w:tc>
              <w:tc>
                <w:tcPr>
                  <w:tcW w:w="637" w:type="pct"/>
                  <w:noWrap w:val="0"/>
                  <w:vAlign w:val="center"/>
                </w:tcPr>
                <w:p w14:paraId="79307DD8">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cs="Times New Roman"/>
                      <w:color w:val="000000"/>
                      <w:sz w:val="21"/>
                      <w:szCs w:val="21"/>
                      <w:vertAlign w:val="baseline"/>
                      <w:lang w:val="en-US" w:eastAsia="zh-CN"/>
                    </w:rPr>
                    <w:t>水</w:t>
                  </w:r>
                </w:p>
              </w:tc>
              <w:tc>
                <w:tcPr>
                  <w:tcW w:w="755" w:type="pct"/>
                  <w:noWrap w:val="0"/>
                  <w:vAlign w:val="center"/>
                </w:tcPr>
                <w:p w14:paraId="1194C2EA">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vertAlign w:val="baseline"/>
                      <w:lang w:val="en-US" w:eastAsia="zh-CN"/>
                    </w:rPr>
                  </w:pPr>
                  <w:r>
                    <w:rPr>
                      <w:rFonts w:hint="eastAsia" w:ascii="Times New Roman" w:hAnsi="Times New Roman" w:cs="Times New Roman"/>
                      <w:color w:val="000000"/>
                      <w:sz w:val="21"/>
                      <w:szCs w:val="21"/>
                      <w:vertAlign w:val="baseline"/>
                      <w:lang w:val="en-US" w:eastAsia="zh-CN"/>
                    </w:rPr>
                    <w:t>/</w:t>
                  </w:r>
                </w:p>
              </w:tc>
              <w:tc>
                <w:tcPr>
                  <w:tcW w:w="418" w:type="pct"/>
                  <w:noWrap w:val="0"/>
                  <w:vAlign w:val="center"/>
                </w:tcPr>
                <w:p w14:paraId="05206B68">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cs="Times New Roman"/>
                      <w:color w:val="000000"/>
                      <w:sz w:val="21"/>
                      <w:szCs w:val="21"/>
                      <w:vertAlign w:val="baseline"/>
                      <w:lang w:val="en-US" w:eastAsia="zh-CN"/>
                    </w:rPr>
                    <w:t>t</w:t>
                  </w:r>
                </w:p>
              </w:tc>
              <w:tc>
                <w:tcPr>
                  <w:tcW w:w="792" w:type="pct"/>
                  <w:shd w:val="clear" w:color="auto" w:fill="auto"/>
                  <w:noWrap w:val="0"/>
                  <w:vAlign w:val="center"/>
                </w:tcPr>
                <w:p w14:paraId="52423351">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val="0"/>
                      <w:i w:val="0"/>
                      <w:caps w:val="0"/>
                      <w:color w:val="000000"/>
                      <w:spacing w:val="0"/>
                      <w:w w:val="100"/>
                      <w:kern w:val="2"/>
                      <w:sz w:val="21"/>
                      <w:szCs w:val="21"/>
                      <w:lang w:val="en-US" w:eastAsia="zh-CN" w:bidi="ar-SA"/>
                    </w:rPr>
                  </w:pPr>
                  <w:r>
                    <w:rPr>
                      <w:rFonts w:hint="eastAsia" w:ascii="Times New Roman" w:hAnsi="Times New Roman" w:cs="Times New Roman"/>
                      <w:color w:val="auto"/>
                      <w:kern w:val="2"/>
                      <w:sz w:val="21"/>
                      <w:szCs w:val="21"/>
                      <w:lang w:val="en-US" w:eastAsia="zh-CN" w:bidi="ar-SA"/>
                    </w:rPr>
                    <w:t>879</w:t>
                  </w:r>
                </w:p>
              </w:tc>
              <w:tc>
                <w:tcPr>
                  <w:tcW w:w="810" w:type="pct"/>
                  <w:shd w:val="clear" w:color="auto" w:fill="auto"/>
                  <w:noWrap w:val="0"/>
                  <w:vAlign w:val="center"/>
                </w:tcPr>
                <w:p w14:paraId="4314AEDD">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879</w:t>
                  </w:r>
                </w:p>
              </w:tc>
              <w:tc>
                <w:tcPr>
                  <w:tcW w:w="1161" w:type="pct"/>
                  <w:shd w:val="clear" w:color="auto" w:fill="auto"/>
                  <w:noWrap w:val="0"/>
                  <w:vAlign w:val="center"/>
                </w:tcPr>
                <w:p w14:paraId="6E1B0C39">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p>
              </w:tc>
            </w:tr>
            <w:tr w14:paraId="058657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 w:type="pct"/>
                  <w:noWrap w:val="0"/>
                  <w:vAlign w:val="center"/>
                </w:tcPr>
                <w:p w14:paraId="0011EA74">
                  <w:pPr>
                    <w:spacing w:line="3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w:t>
                  </w:r>
                </w:p>
              </w:tc>
              <w:tc>
                <w:tcPr>
                  <w:tcW w:w="637" w:type="pct"/>
                  <w:noWrap w:val="0"/>
                  <w:vAlign w:val="center"/>
                </w:tcPr>
                <w:p w14:paraId="1E059486">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cs="Times New Roman"/>
                      <w:color w:val="000000"/>
                      <w:sz w:val="21"/>
                      <w:szCs w:val="21"/>
                      <w:vertAlign w:val="baseline"/>
                      <w:lang w:val="en-US" w:eastAsia="zh-CN"/>
                    </w:rPr>
                    <w:t>电</w:t>
                  </w:r>
                </w:p>
              </w:tc>
              <w:tc>
                <w:tcPr>
                  <w:tcW w:w="755" w:type="pct"/>
                  <w:noWrap w:val="0"/>
                  <w:vAlign w:val="center"/>
                </w:tcPr>
                <w:p w14:paraId="4434B7EE">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vertAlign w:val="baseline"/>
                      <w:lang w:val="en-US" w:eastAsia="zh-CN"/>
                    </w:rPr>
                  </w:pPr>
                  <w:r>
                    <w:rPr>
                      <w:rFonts w:hint="eastAsia" w:ascii="Times New Roman" w:hAnsi="Times New Roman" w:cs="Times New Roman"/>
                      <w:color w:val="000000"/>
                      <w:sz w:val="21"/>
                      <w:szCs w:val="21"/>
                      <w:vertAlign w:val="baseline"/>
                      <w:lang w:val="en-US" w:eastAsia="zh-CN"/>
                    </w:rPr>
                    <w:t>/</w:t>
                  </w:r>
                </w:p>
              </w:tc>
              <w:tc>
                <w:tcPr>
                  <w:tcW w:w="418" w:type="pct"/>
                  <w:noWrap w:val="0"/>
                  <w:vAlign w:val="center"/>
                </w:tcPr>
                <w:p w14:paraId="0A29F64D">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cs="Times New Roman"/>
                      <w:color w:val="000000"/>
                      <w:sz w:val="21"/>
                      <w:szCs w:val="21"/>
                      <w:vertAlign w:val="baseline"/>
                      <w:lang w:val="en-US" w:eastAsia="zh-CN"/>
                    </w:rPr>
                    <w:t>万度</w:t>
                  </w:r>
                </w:p>
              </w:tc>
              <w:tc>
                <w:tcPr>
                  <w:tcW w:w="792" w:type="pct"/>
                  <w:shd w:val="clear" w:color="auto" w:fill="auto"/>
                  <w:noWrap w:val="0"/>
                  <w:vAlign w:val="center"/>
                </w:tcPr>
                <w:p w14:paraId="02553F23">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val="0"/>
                      <w:i w:val="0"/>
                      <w:caps w:val="0"/>
                      <w:color w:val="000000"/>
                      <w:spacing w:val="0"/>
                      <w:w w:val="100"/>
                      <w:kern w:val="2"/>
                      <w:sz w:val="21"/>
                      <w:szCs w:val="21"/>
                      <w:lang w:val="en-US" w:eastAsia="zh-CN" w:bidi="ar-SA"/>
                    </w:rPr>
                  </w:pPr>
                  <w:r>
                    <w:rPr>
                      <w:rFonts w:hint="eastAsia" w:ascii="Times New Roman" w:hAnsi="Times New Roman" w:cs="Times New Roman"/>
                      <w:b w:val="0"/>
                      <w:i w:val="0"/>
                      <w:caps w:val="0"/>
                      <w:color w:val="000000"/>
                      <w:spacing w:val="0"/>
                      <w:w w:val="100"/>
                      <w:kern w:val="2"/>
                      <w:sz w:val="21"/>
                      <w:szCs w:val="21"/>
                      <w:lang w:val="en-US" w:eastAsia="zh-CN" w:bidi="ar-SA"/>
                    </w:rPr>
                    <w:t>80</w:t>
                  </w:r>
                </w:p>
              </w:tc>
              <w:tc>
                <w:tcPr>
                  <w:tcW w:w="810" w:type="pct"/>
                  <w:shd w:val="clear" w:color="auto" w:fill="auto"/>
                  <w:noWrap w:val="0"/>
                  <w:vAlign w:val="center"/>
                </w:tcPr>
                <w:p w14:paraId="66EE18A1">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80</w:t>
                  </w:r>
                </w:p>
              </w:tc>
              <w:tc>
                <w:tcPr>
                  <w:tcW w:w="1161" w:type="pct"/>
                  <w:shd w:val="clear" w:color="auto" w:fill="auto"/>
                  <w:noWrap w:val="0"/>
                  <w:vAlign w:val="center"/>
                </w:tcPr>
                <w:p w14:paraId="051F3F0E">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w:t>
                  </w:r>
                </w:p>
              </w:tc>
            </w:tr>
          </w:tbl>
          <w:p w14:paraId="4382826D">
            <w:pPr>
              <w:keepNext w:val="0"/>
              <w:keepLines w:val="0"/>
              <w:pageBreakBefore w:val="0"/>
              <w:widowControl w:val="0"/>
              <w:numPr>
                <w:ilvl w:val="0"/>
                <w:numId w:val="0"/>
              </w:numPr>
              <w:tabs>
                <w:tab w:val="left" w:pos="426"/>
              </w:tabs>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主要原辅材料理化性质：</w:t>
            </w:r>
          </w:p>
          <w:p w14:paraId="6297DD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长石：长石是长石族矿物的总称，它是一类常见的含钙、钠和钾的铝硅酸盐类造岩矿物。它有很多种，如钠长石、钾长石、钙长石、钡长石、 钡冰长石、 微斜长石、 正长石、透长石等。它们都具有玻璃光泽，颜色多种多样，有无色的，有白色、黄色、粉红色、绿色、灰色、黑色等等。有些透明，有些半透明。长石本身应该是无色透明的，之所以有色或不完全透明，是因为含有其他杂质。有些</w:t>
            </w:r>
            <w:r>
              <w:rPr>
                <w:rFonts w:hint="eastAsia" w:ascii="Times New Roman" w:hAnsi="Times New Roman" w:cs="Times New Roman"/>
                <w:sz w:val="24"/>
                <w:szCs w:val="24"/>
                <w:lang w:val="en-US" w:eastAsia="zh-CN"/>
              </w:rPr>
              <w:t>呈</w:t>
            </w:r>
            <w:r>
              <w:rPr>
                <w:rFonts w:hint="default" w:ascii="Times New Roman" w:hAnsi="Times New Roman" w:cs="Times New Roman"/>
                <w:sz w:val="24"/>
                <w:szCs w:val="24"/>
                <w:lang w:val="en-US" w:eastAsia="zh-CN"/>
              </w:rPr>
              <w:t>块状，有些</w:t>
            </w:r>
            <w:r>
              <w:rPr>
                <w:rFonts w:hint="eastAsia" w:ascii="Times New Roman" w:hAnsi="Times New Roman" w:cs="Times New Roman"/>
                <w:sz w:val="24"/>
                <w:szCs w:val="24"/>
                <w:lang w:val="en-US" w:eastAsia="zh-CN"/>
              </w:rPr>
              <w:t>呈</w:t>
            </w:r>
            <w:r>
              <w:rPr>
                <w:rFonts w:hint="default" w:ascii="Times New Roman" w:hAnsi="Times New Roman" w:cs="Times New Roman"/>
                <w:sz w:val="24"/>
                <w:szCs w:val="24"/>
                <w:lang w:val="en-US" w:eastAsia="zh-CN"/>
              </w:rPr>
              <w:t>板状、有些</w:t>
            </w:r>
            <w:r>
              <w:rPr>
                <w:rFonts w:hint="eastAsia" w:ascii="Times New Roman" w:hAnsi="Times New Roman" w:cs="Times New Roman"/>
                <w:sz w:val="24"/>
                <w:szCs w:val="24"/>
                <w:lang w:val="en-US" w:eastAsia="zh-CN"/>
              </w:rPr>
              <w:t>呈</w:t>
            </w:r>
            <w:r>
              <w:rPr>
                <w:rFonts w:hint="default" w:ascii="Times New Roman" w:hAnsi="Times New Roman" w:cs="Times New Roman"/>
                <w:sz w:val="24"/>
                <w:szCs w:val="24"/>
                <w:lang w:val="en-US" w:eastAsia="zh-CN"/>
              </w:rPr>
              <w:t>柱状或针状等等。长石在地壳中比例高达60%，在火成岩、变质岩、沉积岩中都可出现。长石是几乎所有火成岩的主要矿物成分，对于岩石的分类具有重要意义。</w:t>
            </w:r>
          </w:p>
          <w:p w14:paraId="5A5A5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石英：石英是主要造岩矿物之一，一般指低温石英（α-石英），是石英族矿物中分布最广的一个矿物。广义的石英还包括高温石英（β-石英）和柯石英等。主要成分是SiO2，无色透明，常含有少量杂质成分，而变为半透明或不透明的晶体，质地坚硬。石英是一种物理性质和化学性质均十分稳定的矿产资源，晶体属三方晶系的氧化物矿物。 石英块又名硅石， 主要是生产石英砂（又称硅砂）的原料，也是石英耐火材料和烧制硅铁的原料。石英是由二氧化硅组成的矿物，化学式SiO</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。纯净的石英无色透明，因含微量色素离子或细分散包裹体，或存在色心而呈各种颜色，并使透明度降低。具玻璃光泽，断口呈油脂光泽。硬度7，无解理，贝壳状断口。比重2.65。具压电性。</w:t>
            </w:r>
          </w:p>
          <w:p w14:paraId="5089FD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高岭土：高岭石的晶体化学式为2SiO</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·Al</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O</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·2H</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O，晶体主要由硅氧四面体和绍氢氧八面体组成，多无光泽，质纯时颜白细腻，如含杂质时可带有灰、黄、褐等色。外观依成因不同可呈松散的土块状及致密状态岩块状。密度：2.54~2.60g/cm</w:t>
            </w:r>
            <w:r>
              <w:rPr>
                <w:rFonts w:hint="default"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，熔点约1785℃，具有可塑性，湿土能塑成各种形状而不致破碎，并能长期保持不变。其主要成分包括三氧化二铝35%，二氧化硅50%等，粒径325目，含水率小于8%。</w:t>
            </w:r>
          </w:p>
          <w:p w14:paraId="06122B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白云石：化学成分为CaMg(CO</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晶体属三方晶系的碳酸盐矿物。白云石的晶体结构与方解石类似，晶形为菱面体，晶面常弯曲成马鞍状，聚片双晶常见，多呈块状、粒状集合体。纯白云石为白色，因含其他元素和杂质有时呈灰绿、灰黄、粉红等色，玻璃光泽。三组菱面体解理完全，性脆。摩氏硬度3.5-4，比重2.8-2.9。其主要成分包括氧化钙32%，氧化镁20.5%等，粒径200目，含水率小于0.1%。</w:t>
            </w:r>
          </w:p>
          <w:p w14:paraId="29D0C2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烧滑石：烧滑石作为一种在釉料配制中不可或缺的矿物添加剂，是一种常见的硅酸盐矿物，具有硬度低、容易切割和雕刻的特点。其主要成分包括二氧化硅63%，氧化镁32%等，粒径200目，含水率小于0.1%。</w:t>
            </w:r>
          </w:p>
          <w:p w14:paraId="5FD0A5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霞石：霞石是一种含有铝和钠的硅酸盐。无色或白色，有时也呈灰色、绿色或红色。有玻璃光泽，断口呈脂肪光泽。化学组成为KNa</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(A</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SiO</w:t>
            </w:r>
            <w:r>
              <w:rPr>
                <w:rFonts w:hint="default" w:ascii="Times New Roman" w:hAnsi="Times New Roman" w:cs="Times New Roman"/>
                <w:sz w:val="24"/>
                <w:szCs w:val="24"/>
                <w:vertAlign w:val="subscript"/>
                <w:lang w:val="en-US" w:eastAsia="zh-CN"/>
              </w:rPr>
              <w:t>4</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vertAlign w:val="subscript"/>
                <w:lang w:val="en-US" w:eastAsia="zh-CN"/>
              </w:rPr>
              <w:t>4</w:t>
            </w:r>
            <w:r>
              <w:rPr>
                <w:rFonts w:hint="default" w:ascii="Times New Roman" w:hAnsi="Times New Roman" w:cs="Times New Roman"/>
                <w:sz w:val="24"/>
                <w:szCs w:val="24"/>
                <w:lang w:val="en-US" w:eastAsia="zh-CN"/>
              </w:rPr>
              <w:t>、晶体属六方晶系的架状结构硅酸盐矿物，是最主要的似长石矿物。其主要成分包括三氧化二铝31%，二氧化硅41%，氧化钠13%等，粒径200目，含水率小于0.1%</w:t>
            </w:r>
            <w:r>
              <w:rPr>
                <w:rFonts w:hint="eastAsia" w:ascii="Times New Roman" w:hAnsi="Times New Roman" w:cs="Times New Roman"/>
                <w:sz w:val="24"/>
                <w:szCs w:val="24"/>
                <w:lang w:val="en-US" w:eastAsia="zh-CN"/>
              </w:rPr>
              <w:t>。</w:t>
            </w:r>
          </w:p>
          <w:p w14:paraId="082A9942">
            <w:pPr>
              <w:keepNext w:val="0"/>
              <w:keepLines w:val="0"/>
              <w:pageBreakBefore w:val="0"/>
              <w:widowControl w:val="0"/>
              <w:numPr>
                <w:ilvl w:val="0"/>
                <w:numId w:val="0"/>
              </w:numPr>
              <w:tabs>
                <w:tab w:val="left" w:pos="426"/>
              </w:tabs>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工程变动内容</w:t>
            </w:r>
          </w:p>
          <w:p w14:paraId="084405C3">
            <w:pPr>
              <w:keepNext w:val="0"/>
              <w:keepLines w:val="0"/>
              <w:pageBreakBefore w:val="0"/>
              <w:widowControl w:val="0"/>
              <w:tabs>
                <w:tab w:val="left" w:pos="450"/>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项目环评及批复情况：初期雨水经初期雨水收集池沉淀后用于洒水降尘；车辆清洗废水经车辆清洗废水沉淀池处理后循环使用。</w:t>
            </w:r>
          </w:p>
          <w:p w14:paraId="13F9F17F">
            <w:pPr>
              <w:keepNext w:val="0"/>
              <w:keepLines w:val="0"/>
              <w:pageBreakBefore w:val="0"/>
              <w:widowControl w:val="0"/>
              <w:tabs>
                <w:tab w:val="left" w:pos="450"/>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实际情况：项目所有生产工序均在密闭车间内，初期雨水经收集沉淀后通过厂区雨水排口外排；所有原辅材料及产品均采用袋装密闭运输，且厂区地面已全部硬化并保持清洁，运输车辆频次较低，轮胎附带粉尘量极少。经实际核查，无需设置专用车辆清洗平台，日常通过加强厂区道路清扫及酒水抑尘，即可有效控制运输扬尘，满足环保管理要求。</w:t>
            </w:r>
          </w:p>
          <w:p w14:paraId="46F228BF">
            <w:pPr>
              <w:keepNext w:val="0"/>
              <w:keepLines w:val="0"/>
              <w:pageBreakBefore w:val="0"/>
              <w:widowControl w:val="0"/>
              <w:tabs>
                <w:tab w:val="left" w:pos="450"/>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对照《关于印发《污染影响类建设项目重大变动清单（试行）》的通知》（环办环评函</w:t>
            </w:r>
            <w:r>
              <w:rPr>
                <w:rFonts w:hint="eastAsia" w:ascii="Times New Roman" w:hAnsi="Times New Roman" w:cs="Times New Roman"/>
                <w:color w:val="000000"/>
                <w:sz w:val="24"/>
                <w:szCs w:val="24"/>
                <w:lang w:val="en-US" w:eastAsia="zh-CN"/>
              </w:rPr>
              <w:t>〔2020〕688号</w:t>
            </w:r>
            <w:r>
              <w:rPr>
                <w:rFonts w:hint="eastAsia" w:ascii="Times New Roman" w:hAnsi="Times New Roman" w:eastAsia="宋体" w:cs="Times New Roman"/>
                <w:color w:val="000000"/>
                <w:sz w:val="24"/>
                <w:szCs w:val="24"/>
                <w:lang w:val="en-US" w:eastAsia="zh-CN"/>
              </w:rPr>
              <w:t>）判定建设项目的性质、规模、地点、生产工艺和环境保护措施五个因素中的一项或一项以上是否发生重大变动。项目实际建设情况与环评内容对比变化情况详见表</w:t>
            </w:r>
            <w:r>
              <w:rPr>
                <w:rFonts w:hint="default" w:ascii="Times New Roman" w:hAnsi="Times New Roman" w:cs="Times New Roman"/>
                <w:color w:val="000000"/>
                <w:sz w:val="24"/>
                <w:szCs w:val="24"/>
                <w:lang w:val="en-US" w:eastAsia="zh-CN"/>
              </w:rPr>
              <w:t>2</w:t>
            </w:r>
            <w:r>
              <w:rPr>
                <w:rFonts w:hint="default" w:ascii="Times New Roman" w:hAnsi="Times New Roman" w:eastAsia="宋体" w:cs="Times New Roman"/>
                <w:color w:val="000000"/>
                <w:sz w:val="24"/>
                <w:szCs w:val="24"/>
                <w:lang w:val="en-US" w:eastAsia="zh-CN"/>
              </w:rPr>
              <w:t>-</w:t>
            </w:r>
            <w:r>
              <w:rPr>
                <w:rFonts w:hint="eastAsia" w:ascii="Times New Roman" w:hAnsi="Times New Roman" w:cs="Times New Roman"/>
                <w:color w:val="000000"/>
                <w:sz w:val="24"/>
                <w:szCs w:val="24"/>
                <w:lang w:val="en-US" w:eastAsia="zh-CN"/>
              </w:rPr>
              <w:t>7</w:t>
            </w:r>
            <w:r>
              <w:rPr>
                <w:rFonts w:hint="default" w:ascii="Times New Roman" w:hAnsi="Times New Roman" w:eastAsia="宋体" w:cs="Times New Roman"/>
                <w:color w:val="000000"/>
                <w:sz w:val="24"/>
                <w:szCs w:val="24"/>
                <w:lang w:val="en-US" w:eastAsia="zh-CN"/>
              </w:rPr>
              <w:t>。</w:t>
            </w:r>
          </w:p>
          <w:p w14:paraId="3A1DDD8F">
            <w:pPr>
              <w:pStyle w:val="11"/>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w:t>
            </w:r>
            <w:r>
              <w:rPr>
                <w:rFonts w:hint="default" w:ascii="Times New Roman" w:hAnsi="Times New Roman" w:cs="Times New Roman"/>
                <w:b/>
                <w:bCs/>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w:t>
            </w:r>
            <w:r>
              <w:rPr>
                <w:rFonts w:hint="eastAsia" w:ascii="Times New Roman" w:hAnsi="Times New Roman" w:cs="Times New Roman"/>
                <w:b/>
                <w:bCs/>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项目实际建设情况与环评内容对比变化情况表</w:t>
            </w:r>
          </w:p>
          <w:tbl>
            <w:tblPr>
              <w:tblStyle w:val="24"/>
              <w:tblW w:w="841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0"/>
              <w:gridCol w:w="3735"/>
              <w:gridCol w:w="2925"/>
              <w:gridCol w:w="1089"/>
            </w:tblGrid>
            <w:tr w14:paraId="2B4467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97" w:type="pct"/>
                  <w:tcBorders>
                    <w:tl2br w:val="nil"/>
                    <w:tr2bl w:val="nil"/>
                  </w:tcBorders>
                  <w:vAlign w:val="center"/>
                </w:tcPr>
                <w:p w14:paraId="7B38F27E">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项目</w:t>
                  </w:r>
                </w:p>
              </w:tc>
              <w:tc>
                <w:tcPr>
                  <w:tcW w:w="2218" w:type="pct"/>
                  <w:tcBorders>
                    <w:tl2br w:val="nil"/>
                    <w:tr2bl w:val="nil"/>
                  </w:tcBorders>
                  <w:vAlign w:val="center"/>
                </w:tcPr>
                <w:p w14:paraId="23C805A5">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污染影响类建设项目重大变动清单（试行）</w:t>
                  </w:r>
                </w:p>
              </w:tc>
              <w:tc>
                <w:tcPr>
                  <w:tcW w:w="1737" w:type="pct"/>
                  <w:tcBorders>
                    <w:tl2br w:val="nil"/>
                    <w:tr2bl w:val="nil"/>
                  </w:tcBorders>
                  <w:vAlign w:val="center"/>
                </w:tcPr>
                <w:p w14:paraId="36D75BDD">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实际建设情况</w:t>
                  </w:r>
                </w:p>
              </w:tc>
              <w:tc>
                <w:tcPr>
                  <w:tcW w:w="646" w:type="pct"/>
                  <w:tcBorders>
                    <w:tl2br w:val="nil"/>
                    <w:tr2bl w:val="nil"/>
                  </w:tcBorders>
                  <w:vAlign w:val="center"/>
                </w:tcPr>
                <w:p w14:paraId="0422911B">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是否属于重大变动</w:t>
                  </w:r>
                </w:p>
              </w:tc>
            </w:tr>
            <w:tr w14:paraId="1F406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397" w:type="pct"/>
                  <w:tcBorders>
                    <w:tl2br w:val="nil"/>
                    <w:tr2bl w:val="nil"/>
                  </w:tcBorders>
                  <w:vAlign w:val="center"/>
                </w:tcPr>
                <w:p w14:paraId="200C5B1A">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性质</w:t>
                  </w:r>
                </w:p>
              </w:tc>
              <w:tc>
                <w:tcPr>
                  <w:tcW w:w="2218" w:type="pct"/>
                  <w:tcBorders>
                    <w:tl2br w:val="nil"/>
                    <w:tr2bl w:val="nil"/>
                  </w:tcBorders>
                  <w:vAlign w:val="center"/>
                </w:tcPr>
                <w:p w14:paraId="4E5EC2BB">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1.建设项目开发、使用功能发生变化的。</w:t>
                  </w:r>
                </w:p>
              </w:tc>
              <w:tc>
                <w:tcPr>
                  <w:tcW w:w="1737" w:type="pct"/>
                  <w:tcBorders>
                    <w:tl2br w:val="nil"/>
                    <w:tr2bl w:val="nil"/>
                  </w:tcBorders>
                  <w:vAlign w:val="center"/>
                </w:tcPr>
                <w:p w14:paraId="77F1F517">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建设项目</w:t>
                  </w:r>
                  <w:r>
                    <w:rPr>
                      <w:rFonts w:hint="eastAsia" w:ascii="Times New Roman" w:hAnsi="Times New Roman" w:cs="Times New Roman"/>
                      <w:color w:val="auto"/>
                      <w:sz w:val="21"/>
                      <w:szCs w:val="21"/>
                      <w:lang w:val="en-US" w:eastAsia="zh-CN"/>
                    </w:rPr>
                    <w:t>行业类别为</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C3099其他非金属矿物制品制造</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建设</w:t>
                  </w:r>
                  <w:r>
                    <w:rPr>
                      <w:rFonts w:hint="eastAsia" w:ascii="Times New Roman" w:hAnsi="Times New Roman" w:eastAsia="宋体" w:cs="Times New Roman"/>
                      <w:color w:val="auto"/>
                      <w:sz w:val="21"/>
                      <w:szCs w:val="21"/>
                      <w:lang w:val="en-US" w:eastAsia="zh-CN"/>
                    </w:rPr>
                    <w:t>性质为</w:t>
                  </w:r>
                  <w:r>
                    <w:rPr>
                      <w:rFonts w:hint="eastAsia" w:cs="Times New Roman"/>
                      <w:color w:val="auto"/>
                      <w:sz w:val="21"/>
                      <w:szCs w:val="21"/>
                      <w:lang w:val="en-US" w:eastAsia="zh-CN"/>
                    </w:rPr>
                    <w:t>新建</w:t>
                  </w:r>
                  <w:r>
                    <w:rPr>
                      <w:rFonts w:hint="eastAsia" w:ascii="Times New Roman" w:hAnsi="Times New Roman" w:eastAsia="宋体" w:cs="Times New Roman"/>
                      <w:color w:val="auto"/>
                      <w:sz w:val="21"/>
                      <w:szCs w:val="21"/>
                      <w:lang w:val="en-US" w:eastAsia="zh-CN"/>
                    </w:rPr>
                    <w:t>，产品为</w:t>
                  </w:r>
                  <w:r>
                    <w:rPr>
                      <w:rFonts w:hint="eastAsia" w:cs="Times New Roman"/>
                      <w:color w:val="auto"/>
                      <w:sz w:val="21"/>
                      <w:szCs w:val="21"/>
                      <w:lang w:val="en-US" w:eastAsia="zh-CN"/>
                    </w:rPr>
                    <w:t>陶瓷原料</w:t>
                  </w:r>
                  <w:r>
                    <w:rPr>
                      <w:rFonts w:hint="eastAsia" w:ascii="Times New Roman" w:hAnsi="Times New Roman" w:eastAsia="宋体" w:cs="Times New Roman"/>
                      <w:color w:val="auto"/>
                      <w:sz w:val="21"/>
                      <w:szCs w:val="21"/>
                      <w:lang w:val="en-US" w:eastAsia="zh-CN"/>
                    </w:rPr>
                    <w:t>，项目实际建设内容与</w:t>
                  </w:r>
                  <w:r>
                    <w:rPr>
                      <w:rFonts w:hint="eastAsia" w:ascii="Times New Roman" w:hAnsi="Times New Roman" w:cs="Times New Roman"/>
                      <w:color w:val="auto"/>
                      <w:sz w:val="21"/>
                      <w:szCs w:val="21"/>
                      <w:lang w:val="en-US" w:eastAsia="zh-CN"/>
                    </w:rPr>
                    <w:t>环评及</w:t>
                  </w:r>
                  <w:r>
                    <w:rPr>
                      <w:rFonts w:hint="eastAsia" w:ascii="Times New Roman" w:hAnsi="Times New Roman" w:eastAsia="宋体" w:cs="Times New Roman"/>
                      <w:color w:val="auto"/>
                      <w:sz w:val="21"/>
                      <w:szCs w:val="21"/>
                      <w:lang w:val="en-US" w:eastAsia="zh-CN"/>
                    </w:rPr>
                    <w:t>批复一致，故本项目的</w:t>
                  </w:r>
                  <w:r>
                    <w:rPr>
                      <w:rFonts w:hint="eastAsia" w:ascii="Times New Roman" w:hAnsi="Times New Roman" w:cs="Times New Roman"/>
                      <w:color w:val="auto"/>
                      <w:sz w:val="21"/>
                      <w:szCs w:val="21"/>
                      <w:lang w:val="en-US" w:eastAsia="zh-CN"/>
                    </w:rPr>
                    <w:t>开发、</w:t>
                  </w:r>
                  <w:r>
                    <w:rPr>
                      <w:rFonts w:hint="eastAsia" w:ascii="Times New Roman" w:hAnsi="Times New Roman" w:eastAsia="宋体" w:cs="Times New Roman"/>
                      <w:color w:val="auto"/>
                      <w:sz w:val="21"/>
                      <w:szCs w:val="21"/>
                      <w:lang w:val="en-US" w:eastAsia="zh-CN"/>
                    </w:rPr>
                    <w:t>使用功能未发生变化。</w:t>
                  </w:r>
                </w:p>
              </w:tc>
              <w:tc>
                <w:tcPr>
                  <w:tcW w:w="646" w:type="pct"/>
                  <w:tcBorders>
                    <w:tl2br w:val="nil"/>
                    <w:tr2bl w:val="nil"/>
                  </w:tcBorders>
                  <w:vAlign w:val="center"/>
                </w:tcPr>
                <w:p w14:paraId="6390D297">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5E6425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97" w:type="pct"/>
                  <w:vMerge w:val="restart"/>
                  <w:tcBorders>
                    <w:tl2br w:val="nil"/>
                    <w:tr2bl w:val="nil"/>
                  </w:tcBorders>
                  <w:vAlign w:val="center"/>
                </w:tcPr>
                <w:p w14:paraId="5ADB29CD">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规模</w:t>
                  </w:r>
                </w:p>
              </w:tc>
              <w:tc>
                <w:tcPr>
                  <w:tcW w:w="2218" w:type="pct"/>
                  <w:tcBorders>
                    <w:tl2br w:val="nil"/>
                    <w:tr2bl w:val="nil"/>
                  </w:tcBorders>
                  <w:vAlign w:val="center"/>
                </w:tcPr>
                <w:p w14:paraId="7B6D69F5">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生产、处置或储存能力增大30%及以上的。</w:t>
                  </w:r>
                </w:p>
              </w:tc>
              <w:tc>
                <w:tcPr>
                  <w:tcW w:w="1737" w:type="pct"/>
                  <w:tcBorders>
                    <w:tl2br w:val="nil"/>
                    <w:tr2bl w:val="nil"/>
                  </w:tcBorders>
                  <w:vAlign w:val="center"/>
                </w:tcPr>
                <w:p w14:paraId="7E6F63B1">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项目</w:t>
                  </w:r>
                  <w:r>
                    <w:rPr>
                      <w:rFonts w:hint="eastAsia" w:ascii="Times New Roman" w:hAnsi="Times New Roman" w:eastAsia="宋体" w:cs="Times New Roman"/>
                      <w:color w:val="auto"/>
                      <w:sz w:val="21"/>
                      <w:szCs w:val="21"/>
                      <w:lang w:val="en-US" w:eastAsia="zh-CN"/>
                    </w:rPr>
                    <w:t>生产</w:t>
                  </w:r>
                  <w:r>
                    <w:rPr>
                      <w:rFonts w:hint="eastAsia" w:ascii="Times New Roman" w:hAnsi="Times New Roman"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处置或储存能力未增大。</w:t>
                  </w:r>
                </w:p>
              </w:tc>
              <w:tc>
                <w:tcPr>
                  <w:tcW w:w="646" w:type="pct"/>
                  <w:tcBorders>
                    <w:tl2br w:val="nil"/>
                    <w:tr2bl w:val="nil"/>
                  </w:tcBorders>
                  <w:vAlign w:val="center"/>
                </w:tcPr>
                <w:p w14:paraId="24348824">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1FE7E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97" w:type="pct"/>
                  <w:vMerge w:val="continue"/>
                  <w:tcBorders>
                    <w:tl2br w:val="nil"/>
                    <w:tr2bl w:val="nil"/>
                  </w:tcBorders>
                  <w:vAlign w:val="center"/>
                </w:tcPr>
                <w:p w14:paraId="44811DBC">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191F88F6">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3.生产、处置或储存能力增大，导致废水第一类污染物排放量增加的。</w:t>
                  </w:r>
                </w:p>
              </w:tc>
              <w:tc>
                <w:tcPr>
                  <w:tcW w:w="1737" w:type="pct"/>
                  <w:tcBorders>
                    <w:tl2br w:val="nil"/>
                    <w:tr2bl w:val="nil"/>
                  </w:tcBorders>
                  <w:vAlign w:val="center"/>
                </w:tcPr>
                <w:p w14:paraId="45D7B789">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项目生产、处置或储存能力未增大。</w:t>
                  </w:r>
                </w:p>
              </w:tc>
              <w:tc>
                <w:tcPr>
                  <w:tcW w:w="646" w:type="pct"/>
                  <w:tcBorders>
                    <w:tl2br w:val="nil"/>
                    <w:tr2bl w:val="nil"/>
                  </w:tcBorders>
                  <w:vAlign w:val="center"/>
                </w:tcPr>
                <w:p w14:paraId="042F50B1">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5F1459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97" w:type="pct"/>
                  <w:vMerge w:val="continue"/>
                  <w:tcBorders>
                    <w:tl2br w:val="nil"/>
                    <w:tr2bl w:val="nil"/>
                  </w:tcBorders>
                  <w:vAlign w:val="center"/>
                </w:tcPr>
                <w:p w14:paraId="4B8E7093">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3DD505E0">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737" w:type="pct"/>
                  <w:tcBorders>
                    <w:tl2br w:val="nil"/>
                    <w:tr2bl w:val="nil"/>
                  </w:tcBorders>
                  <w:vAlign w:val="center"/>
                </w:tcPr>
                <w:p w14:paraId="2271AE8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项目生产、处置或储存能力未增大。</w:t>
                  </w:r>
                </w:p>
              </w:tc>
              <w:tc>
                <w:tcPr>
                  <w:tcW w:w="646" w:type="pct"/>
                  <w:tcBorders>
                    <w:tl2br w:val="nil"/>
                    <w:tr2bl w:val="nil"/>
                  </w:tcBorders>
                  <w:vAlign w:val="center"/>
                </w:tcPr>
                <w:p w14:paraId="14451DBB">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0E85E4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397" w:type="pct"/>
                  <w:tcBorders>
                    <w:tl2br w:val="nil"/>
                    <w:tr2bl w:val="nil"/>
                  </w:tcBorders>
                  <w:vAlign w:val="center"/>
                </w:tcPr>
                <w:p w14:paraId="7F8B3C18">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地点</w:t>
                  </w:r>
                </w:p>
              </w:tc>
              <w:tc>
                <w:tcPr>
                  <w:tcW w:w="2218" w:type="pct"/>
                  <w:tcBorders>
                    <w:tl2br w:val="nil"/>
                    <w:tr2bl w:val="nil"/>
                  </w:tcBorders>
                  <w:vAlign w:val="center"/>
                </w:tcPr>
                <w:p w14:paraId="5F0D09A9">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5.重新选址；在原厂址附近调整（包括总平面布置变化）导致环境防护距离范围变化且新增敏感点的。</w:t>
                  </w:r>
                </w:p>
              </w:tc>
              <w:tc>
                <w:tcPr>
                  <w:tcW w:w="1737" w:type="pct"/>
                  <w:tcBorders>
                    <w:tl2br w:val="nil"/>
                    <w:tr2bl w:val="nil"/>
                  </w:tcBorders>
                  <w:vAlign w:val="center"/>
                </w:tcPr>
                <w:p w14:paraId="2B0B9461">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项目场址未进行调整</w:t>
                  </w:r>
                  <w:r>
                    <w:rPr>
                      <w:rFonts w:hint="eastAsia" w:ascii="Times New Roman" w:hAnsi="Times New Roman" w:cs="Times New Roman"/>
                      <w:color w:val="auto"/>
                      <w:sz w:val="21"/>
                      <w:szCs w:val="21"/>
                      <w:lang w:val="en-US" w:eastAsia="zh-CN"/>
                    </w:rPr>
                    <w:t>，环境</w:t>
                  </w:r>
                  <w:r>
                    <w:rPr>
                      <w:rFonts w:hint="eastAsia" w:ascii="Times New Roman" w:hAnsi="Times New Roman" w:eastAsia="宋体" w:cs="Times New Roman"/>
                      <w:color w:val="auto"/>
                      <w:sz w:val="21"/>
                      <w:szCs w:val="21"/>
                      <w:lang w:val="en-US" w:eastAsia="zh-CN"/>
                    </w:rPr>
                    <w:t>防护距离</w:t>
                  </w:r>
                  <w:r>
                    <w:rPr>
                      <w:rFonts w:hint="eastAsia" w:ascii="Times New Roman" w:hAnsi="Times New Roman" w:cs="Times New Roman"/>
                      <w:color w:val="auto"/>
                      <w:sz w:val="21"/>
                      <w:szCs w:val="21"/>
                      <w:lang w:val="en-US" w:eastAsia="zh-CN"/>
                    </w:rPr>
                    <w:t>范围未</w:t>
                  </w:r>
                  <w:r>
                    <w:rPr>
                      <w:rFonts w:hint="eastAsia" w:ascii="Times New Roman" w:hAnsi="Times New Roman" w:eastAsia="宋体" w:cs="Times New Roman"/>
                      <w:color w:val="auto"/>
                      <w:sz w:val="21"/>
                      <w:szCs w:val="21"/>
                      <w:lang w:val="en-US" w:eastAsia="zh-CN"/>
                    </w:rPr>
                    <w:t>发生</w:t>
                  </w:r>
                  <w:r>
                    <w:rPr>
                      <w:rFonts w:hint="eastAsia" w:ascii="Times New Roman" w:hAnsi="Times New Roman" w:cs="Times New Roman"/>
                      <w:color w:val="auto"/>
                      <w:sz w:val="21"/>
                      <w:szCs w:val="21"/>
                      <w:lang w:val="en-US" w:eastAsia="zh-CN"/>
                    </w:rPr>
                    <w:t>变化</w:t>
                  </w:r>
                  <w:r>
                    <w:rPr>
                      <w:rFonts w:hint="eastAsia" w:ascii="Times New Roman" w:hAnsi="Times New Roman" w:eastAsia="宋体" w:cs="Times New Roman"/>
                      <w:color w:val="auto"/>
                      <w:sz w:val="21"/>
                      <w:szCs w:val="21"/>
                      <w:lang w:val="en-US" w:eastAsia="zh-CN"/>
                    </w:rPr>
                    <w:t>。</w:t>
                  </w:r>
                </w:p>
              </w:tc>
              <w:tc>
                <w:tcPr>
                  <w:tcW w:w="646" w:type="pct"/>
                  <w:tcBorders>
                    <w:tl2br w:val="nil"/>
                    <w:tr2bl w:val="nil"/>
                  </w:tcBorders>
                  <w:vAlign w:val="center"/>
                </w:tcPr>
                <w:p w14:paraId="7D141E56">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74E6F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7" w:type="pct"/>
                  <w:vMerge w:val="restart"/>
                  <w:tcBorders>
                    <w:tl2br w:val="nil"/>
                    <w:tr2bl w:val="nil"/>
                  </w:tcBorders>
                  <w:vAlign w:val="center"/>
                </w:tcPr>
                <w:p w14:paraId="3C476D2C">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生产工艺</w:t>
                  </w:r>
                </w:p>
              </w:tc>
              <w:tc>
                <w:tcPr>
                  <w:tcW w:w="2218" w:type="pct"/>
                  <w:tcBorders>
                    <w:tl2br w:val="nil"/>
                    <w:tr2bl w:val="nil"/>
                  </w:tcBorders>
                  <w:vAlign w:val="center"/>
                </w:tcPr>
                <w:p w14:paraId="0EB9D86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新增产品品种或生产工艺（含主要生产装置、设备及配套设施）、主要原辅材料、燃料变化，导致以下情形之一：（1）新增排放污染物种类的（毒性、挥发性降低的除外）；（2）位于环境质量不达标区的建设项目相应污染物排放量增加的；（3）废水第一类污染物排放量增加的；（4）其他污染物排放量增加10%及以上的。</w:t>
                  </w:r>
                </w:p>
              </w:tc>
              <w:tc>
                <w:tcPr>
                  <w:tcW w:w="1737" w:type="pct"/>
                  <w:tcBorders>
                    <w:tl2br w:val="nil"/>
                    <w:tr2bl w:val="nil"/>
                  </w:tcBorders>
                  <w:vAlign w:val="center"/>
                </w:tcPr>
                <w:p w14:paraId="214351C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项目未新增产品品种或生产工艺，</w:t>
                  </w:r>
                  <w:r>
                    <w:rPr>
                      <w:rFonts w:hint="eastAsia" w:ascii="Times New Roman" w:hAnsi="Times New Roman" w:eastAsia="宋体" w:cs="Times New Roman"/>
                      <w:color w:val="auto"/>
                      <w:sz w:val="21"/>
                      <w:szCs w:val="21"/>
                      <w:lang w:val="en-US" w:eastAsia="zh-CN"/>
                    </w:rPr>
                    <w:t>主要原辅材料、未发生变化</w:t>
                  </w:r>
                  <w:r>
                    <w:rPr>
                      <w:rFonts w:hint="eastAsia" w:ascii="Times New Roman" w:hAnsi="Times New Roman" w:cs="Times New Roman"/>
                      <w:color w:val="auto"/>
                      <w:sz w:val="21"/>
                      <w:szCs w:val="21"/>
                      <w:lang w:val="en-US" w:eastAsia="zh-CN"/>
                    </w:rPr>
                    <w:t>。不新增污染物种类，不会增加污染物排放量。</w:t>
                  </w:r>
                </w:p>
              </w:tc>
              <w:tc>
                <w:tcPr>
                  <w:tcW w:w="646" w:type="pct"/>
                  <w:vMerge w:val="restart"/>
                  <w:tcBorders>
                    <w:tl2br w:val="nil"/>
                    <w:tr2bl w:val="nil"/>
                  </w:tcBorders>
                  <w:vAlign w:val="center"/>
                </w:tcPr>
                <w:p w14:paraId="57ACF33F">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512917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397" w:type="pct"/>
                  <w:vMerge w:val="continue"/>
                  <w:tcBorders>
                    <w:tl2br w:val="nil"/>
                    <w:tr2bl w:val="nil"/>
                  </w:tcBorders>
                  <w:vAlign w:val="center"/>
                </w:tcPr>
                <w:p w14:paraId="211B473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4C8D1A46">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7.物料运输、装卸、贮存方式变化，导致大气污染物无组织排放量增加10%及以上的。</w:t>
                  </w:r>
                </w:p>
              </w:tc>
              <w:tc>
                <w:tcPr>
                  <w:tcW w:w="1737" w:type="pct"/>
                  <w:tcBorders>
                    <w:tl2br w:val="nil"/>
                    <w:tr2bl w:val="nil"/>
                  </w:tcBorders>
                  <w:vAlign w:val="center"/>
                </w:tcPr>
                <w:p w14:paraId="4A33B2E1">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项目物料运输、装卸、贮存方式未发生变化；不会导致大气污染物无组织排放量增加。</w:t>
                  </w:r>
                </w:p>
              </w:tc>
              <w:tc>
                <w:tcPr>
                  <w:tcW w:w="646" w:type="pct"/>
                  <w:vMerge w:val="continue"/>
                  <w:tcBorders>
                    <w:tl2br w:val="nil"/>
                    <w:tr2bl w:val="nil"/>
                  </w:tcBorders>
                  <w:vAlign w:val="center"/>
                </w:tcPr>
                <w:p w14:paraId="30534F1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r>
            <w:tr w14:paraId="4987F3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397" w:type="pct"/>
                  <w:vMerge w:val="restart"/>
                  <w:tcBorders>
                    <w:tl2br w:val="nil"/>
                    <w:tr2bl w:val="nil"/>
                  </w:tcBorders>
                  <w:vAlign w:val="center"/>
                </w:tcPr>
                <w:p w14:paraId="4F0E79BA">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环保</w:t>
                  </w:r>
                </w:p>
                <w:p w14:paraId="4281BE4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措施</w:t>
                  </w:r>
                </w:p>
                <w:p w14:paraId="3D0D8B6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39942D69">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8.废气、废水污染防治措施变化，导致第6条中所列情形之一（废气无组织排放改为有组织排放、污染防治措施强化或改进的除外）或大气污染物无组织排放量增加10%及以上的。</w:t>
                  </w:r>
                </w:p>
              </w:tc>
              <w:tc>
                <w:tcPr>
                  <w:tcW w:w="1737" w:type="pct"/>
                  <w:tcBorders>
                    <w:tl2br w:val="nil"/>
                    <w:tr2bl w:val="nil"/>
                  </w:tcBorders>
                  <w:vAlign w:val="center"/>
                </w:tcPr>
                <w:p w14:paraId="32A7DD20">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项目废气污染防治措施未发生变化。废水污染防治措施</w:t>
                  </w:r>
                  <w:r>
                    <w:rPr>
                      <w:rFonts w:hint="eastAsia" w:ascii="Times New Roman" w:hAnsi="Times New Roman" w:cs="Times New Roman"/>
                      <w:color w:val="auto"/>
                      <w:sz w:val="21"/>
                      <w:szCs w:val="21"/>
                      <w:lang w:val="en-US" w:eastAsia="zh-CN"/>
                    </w:rPr>
                    <w:t>变化，</w:t>
                  </w:r>
                  <w:r>
                    <w:rPr>
                      <w:rFonts w:hint="eastAsia" w:ascii="Times New Roman" w:hAnsi="Times New Roman" w:eastAsia="宋体" w:cs="Times New Roman"/>
                      <w:color w:val="auto"/>
                      <w:sz w:val="21"/>
                      <w:szCs w:val="21"/>
                      <w:lang w:val="en-US" w:eastAsia="zh-CN"/>
                    </w:rPr>
                    <w:t>项目环评及批复情况：初期雨水经初期雨水收集池沉淀后用于洒水降尘；车辆清洗废水经车辆清洗废水沉淀池处理后循环使用。</w:t>
                  </w:r>
                </w:p>
                <w:p w14:paraId="74036ECF">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实际情况：项目所有生产工序均在密闭车间内，初期雨水经收集沉淀后通过厂区雨水排口外排；所有原辅材料及产品均采用袋装密闭运输，且厂区地面已全部硬化并保持清洁，运输车辆频次较低，轮胎附带粉尘量极少。经实际核查，无需设置专用车辆清洗平台，日常通过加强厂区道路清扫及酒水抑尘，即可有效控制运输扬尘，满足环保管理要求</w:t>
                  </w:r>
                  <w:r>
                    <w:rPr>
                      <w:rFonts w:hint="eastAsia" w:ascii="Times New Roman" w:hAnsi="Times New Roman" w:cs="Times New Roman"/>
                      <w:color w:val="auto"/>
                      <w:sz w:val="21"/>
                      <w:szCs w:val="21"/>
                      <w:lang w:val="en-US" w:eastAsia="zh-CN"/>
                    </w:rPr>
                    <w:t>。</w:t>
                  </w:r>
                </w:p>
                <w:p w14:paraId="4D981ECD">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不新增污染物种类，不增加污染物排放量。</w:t>
                  </w:r>
                </w:p>
              </w:tc>
              <w:tc>
                <w:tcPr>
                  <w:tcW w:w="646" w:type="pct"/>
                  <w:tcBorders>
                    <w:tl2br w:val="nil"/>
                    <w:tr2bl w:val="nil"/>
                  </w:tcBorders>
                  <w:vAlign w:val="center"/>
                </w:tcPr>
                <w:p w14:paraId="723712E4">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4BEC8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397" w:type="pct"/>
                  <w:vMerge w:val="continue"/>
                  <w:tcBorders>
                    <w:tl2br w:val="nil"/>
                    <w:tr2bl w:val="nil"/>
                  </w:tcBorders>
                  <w:vAlign w:val="center"/>
                </w:tcPr>
                <w:p w14:paraId="587ED965">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101AC696">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9.新增废水直接排放口；废水由间接排放改为直接排放；废水直接排放口位置变化，导致不利环境影响加重的。</w:t>
                  </w:r>
                </w:p>
              </w:tc>
              <w:tc>
                <w:tcPr>
                  <w:tcW w:w="1737" w:type="pct"/>
                  <w:tcBorders>
                    <w:tl2br w:val="nil"/>
                    <w:tr2bl w:val="nil"/>
                  </w:tcBorders>
                  <w:vAlign w:val="center"/>
                </w:tcPr>
                <w:p w14:paraId="3028F2B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w:t>
                  </w:r>
                  <w:r>
                    <w:rPr>
                      <w:rFonts w:hint="eastAsia" w:cs="Times New Roman"/>
                      <w:color w:val="auto"/>
                      <w:sz w:val="21"/>
                      <w:szCs w:val="21"/>
                      <w:lang w:val="en-US" w:eastAsia="zh-CN"/>
                    </w:rPr>
                    <w:t>不新增废水排放口，废水排放方式与环评对比无变动</w:t>
                  </w:r>
                  <w:r>
                    <w:rPr>
                      <w:rFonts w:hint="eastAsia" w:ascii="Times New Roman" w:hAnsi="Times New Roman" w:eastAsia="宋体" w:cs="Times New Roman"/>
                      <w:color w:val="auto"/>
                      <w:sz w:val="21"/>
                      <w:szCs w:val="21"/>
                      <w:lang w:val="en-US" w:eastAsia="zh-CN"/>
                    </w:rPr>
                    <w:t>。</w:t>
                  </w:r>
                </w:p>
              </w:tc>
              <w:tc>
                <w:tcPr>
                  <w:tcW w:w="646" w:type="pct"/>
                  <w:tcBorders>
                    <w:tl2br w:val="nil"/>
                    <w:tr2bl w:val="nil"/>
                  </w:tcBorders>
                  <w:vAlign w:val="center"/>
                </w:tcPr>
                <w:p w14:paraId="5ECB3A86">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35F16B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77" w:hRule="atLeast"/>
                <w:jc w:val="center"/>
              </w:trPr>
              <w:tc>
                <w:tcPr>
                  <w:tcW w:w="397" w:type="pct"/>
                  <w:vMerge w:val="continue"/>
                  <w:tcBorders>
                    <w:tl2br w:val="nil"/>
                    <w:tr2bl w:val="nil"/>
                  </w:tcBorders>
                  <w:vAlign w:val="center"/>
                </w:tcPr>
                <w:p w14:paraId="3DB8600C">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6B0152BB">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10.新增废气主要排放口（废气无组织排放改为有组织排放的除外）；主要排放口排气筒高度降低10%及以上的。</w:t>
                  </w:r>
                </w:p>
              </w:tc>
              <w:tc>
                <w:tcPr>
                  <w:tcW w:w="1737" w:type="pct"/>
                  <w:tcBorders>
                    <w:tl2br w:val="nil"/>
                    <w:tr2bl w:val="nil"/>
                  </w:tcBorders>
                  <w:vAlign w:val="center"/>
                </w:tcPr>
                <w:p w14:paraId="1EE4FEED">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项目</w:t>
                  </w:r>
                  <w:r>
                    <w:rPr>
                      <w:rFonts w:hint="eastAsia" w:cs="Times New Roman"/>
                      <w:color w:val="auto"/>
                      <w:sz w:val="21"/>
                      <w:szCs w:val="21"/>
                      <w:lang w:val="en-US" w:eastAsia="zh-CN"/>
                    </w:rPr>
                    <w:t>未</w:t>
                  </w:r>
                  <w:r>
                    <w:rPr>
                      <w:rFonts w:hint="eastAsia" w:ascii="Times New Roman" w:hAnsi="Times New Roman" w:cs="Times New Roman"/>
                      <w:color w:val="auto"/>
                      <w:sz w:val="21"/>
                      <w:szCs w:val="21"/>
                      <w:lang w:val="en-US" w:eastAsia="zh-CN"/>
                    </w:rPr>
                    <w:t>新增废气排放口</w:t>
                  </w:r>
                  <w:r>
                    <w:rPr>
                      <w:rFonts w:hint="eastAsia" w:cs="Times New Roman"/>
                      <w:color w:val="auto"/>
                      <w:sz w:val="21"/>
                      <w:szCs w:val="21"/>
                      <w:lang w:val="en-US" w:eastAsia="zh-CN"/>
                    </w:rPr>
                    <w:t>，无废气主要排放口</w:t>
                  </w:r>
                  <w:r>
                    <w:rPr>
                      <w:rFonts w:hint="eastAsia" w:cs="Times New Roman"/>
                      <w:color w:val="000000" w:themeColor="text1"/>
                      <w:sz w:val="21"/>
                      <w:szCs w:val="21"/>
                      <w:lang w:val="en-US" w:eastAsia="zh-CN"/>
                      <w14:textFill>
                        <w14:solidFill>
                          <w14:schemeClr w14:val="tx1"/>
                        </w14:solidFill>
                      </w14:textFill>
                    </w:rPr>
                    <w:t>。</w:t>
                  </w:r>
                </w:p>
              </w:tc>
              <w:tc>
                <w:tcPr>
                  <w:tcW w:w="646" w:type="pct"/>
                  <w:tcBorders>
                    <w:tl2br w:val="nil"/>
                    <w:tr2bl w:val="nil"/>
                  </w:tcBorders>
                  <w:vAlign w:val="center"/>
                </w:tcPr>
                <w:p w14:paraId="2677A279">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62EDAD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397" w:type="pct"/>
                  <w:vMerge w:val="continue"/>
                  <w:tcBorders>
                    <w:tl2br w:val="nil"/>
                    <w:tr2bl w:val="nil"/>
                  </w:tcBorders>
                  <w:vAlign w:val="center"/>
                </w:tcPr>
                <w:p w14:paraId="121F7448">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3A4F0818">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11.噪声、土壤或地下水污染防治措施变化，导致不利环境影响加重的。</w:t>
                  </w:r>
                </w:p>
              </w:tc>
              <w:tc>
                <w:tcPr>
                  <w:tcW w:w="1737" w:type="pct"/>
                  <w:tcBorders>
                    <w:tl2br w:val="nil"/>
                    <w:tr2bl w:val="nil"/>
                  </w:tcBorders>
                  <w:vAlign w:val="center"/>
                </w:tcPr>
                <w:p w14:paraId="55F162FA">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项目</w:t>
                  </w:r>
                  <w:r>
                    <w:rPr>
                      <w:rFonts w:hint="eastAsia" w:ascii="Times New Roman" w:hAnsi="Times New Roman" w:eastAsia="宋体" w:cs="Times New Roman"/>
                      <w:color w:val="auto"/>
                      <w:sz w:val="21"/>
                      <w:szCs w:val="21"/>
                      <w:lang w:val="en-US" w:eastAsia="zh-CN"/>
                    </w:rPr>
                    <w:t>噪声、土壤或地下水污染防治措施</w:t>
                  </w:r>
                  <w:r>
                    <w:rPr>
                      <w:rFonts w:hint="eastAsia" w:cs="Times New Roman"/>
                      <w:color w:val="auto"/>
                      <w:sz w:val="21"/>
                      <w:szCs w:val="21"/>
                      <w:lang w:val="en-US" w:eastAsia="zh-CN"/>
                    </w:rPr>
                    <w:t>与环评对比未发生变化</w:t>
                  </w:r>
                  <w:r>
                    <w:rPr>
                      <w:rFonts w:hint="eastAsia" w:ascii="Times New Roman" w:hAnsi="Times New Roman" w:eastAsia="宋体" w:cs="Times New Roman"/>
                      <w:color w:val="auto"/>
                      <w:sz w:val="21"/>
                      <w:szCs w:val="21"/>
                      <w:lang w:val="en-US" w:eastAsia="zh-CN"/>
                    </w:rPr>
                    <w:t>。</w:t>
                  </w:r>
                </w:p>
              </w:tc>
              <w:tc>
                <w:tcPr>
                  <w:tcW w:w="646" w:type="pct"/>
                  <w:tcBorders>
                    <w:tl2br w:val="nil"/>
                    <w:tr2bl w:val="nil"/>
                  </w:tcBorders>
                  <w:vAlign w:val="center"/>
                </w:tcPr>
                <w:p w14:paraId="6BF96C6D">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10FE2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7" w:type="pct"/>
                  <w:vMerge w:val="continue"/>
                  <w:tcBorders>
                    <w:tl2br w:val="nil"/>
                    <w:tr2bl w:val="nil"/>
                  </w:tcBorders>
                  <w:vAlign w:val="center"/>
                </w:tcPr>
                <w:p w14:paraId="75E4AFA9">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1124D3D1">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12.固体废物利用处置方式由委托外单位利用处置改为自行利用处置的（自行利用处置 设施单独开展环境影响评价的除外）；固体废物自行处置方式变化，导致不利环境影响。</w:t>
                  </w:r>
                </w:p>
              </w:tc>
              <w:tc>
                <w:tcPr>
                  <w:tcW w:w="1737" w:type="pct"/>
                  <w:tcBorders>
                    <w:tl2br w:val="nil"/>
                    <w:tr2bl w:val="nil"/>
                  </w:tcBorders>
                  <w:vAlign w:val="center"/>
                </w:tcPr>
                <w:p w14:paraId="0A036D96">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项目</w:t>
                  </w:r>
                  <w:r>
                    <w:rPr>
                      <w:rFonts w:hint="eastAsia" w:ascii="Times New Roman" w:hAnsi="Times New Roman" w:eastAsia="宋体" w:cs="Times New Roman"/>
                      <w:color w:val="auto"/>
                      <w:sz w:val="21"/>
                      <w:szCs w:val="21"/>
                      <w:lang w:val="en-US" w:eastAsia="zh-CN"/>
                    </w:rPr>
                    <w:t>固体废物</w:t>
                  </w:r>
                  <w:r>
                    <w:rPr>
                      <w:rFonts w:hint="eastAsia" w:ascii="Times New Roman" w:hAnsi="Times New Roman" w:cs="Times New Roman"/>
                      <w:color w:val="auto"/>
                      <w:sz w:val="21"/>
                      <w:szCs w:val="21"/>
                      <w:lang w:val="en-US" w:eastAsia="zh-CN"/>
                    </w:rPr>
                    <w:t>利用处置方式</w:t>
                  </w:r>
                  <w:r>
                    <w:rPr>
                      <w:rFonts w:hint="eastAsia" w:cs="Times New Roman"/>
                      <w:color w:val="auto"/>
                      <w:sz w:val="21"/>
                      <w:szCs w:val="21"/>
                      <w:lang w:val="en-US" w:eastAsia="zh-CN"/>
                    </w:rPr>
                    <w:t>与环评对比未发生变化</w:t>
                  </w:r>
                  <w:r>
                    <w:rPr>
                      <w:rFonts w:hint="eastAsia" w:ascii="Times New Roman" w:hAnsi="Times New Roman" w:eastAsia="宋体" w:cs="Times New Roman"/>
                      <w:color w:val="auto"/>
                      <w:sz w:val="21"/>
                      <w:szCs w:val="21"/>
                      <w:lang w:val="en-US" w:eastAsia="zh-CN"/>
                    </w:rPr>
                    <w:t>。</w:t>
                  </w:r>
                </w:p>
              </w:tc>
              <w:tc>
                <w:tcPr>
                  <w:tcW w:w="646" w:type="pct"/>
                  <w:tcBorders>
                    <w:tl2br w:val="nil"/>
                    <w:tr2bl w:val="nil"/>
                  </w:tcBorders>
                  <w:vAlign w:val="center"/>
                </w:tcPr>
                <w:p w14:paraId="2D0E08A2">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r w14:paraId="69DF8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97" w:type="pct"/>
                  <w:vMerge w:val="continue"/>
                  <w:tcBorders>
                    <w:tl2br w:val="nil"/>
                    <w:tr2bl w:val="nil"/>
                  </w:tcBorders>
                  <w:vAlign w:val="center"/>
                </w:tcPr>
                <w:p w14:paraId="11E68C6A">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p>
              </w:tc>
              <w:tc>
                <w:tcPr>
                  <w:tcW w:w="2218" w:type="pct"/>
                  <w:tcBorders>
                    <w:tl2br w:val="nil"/>
                    <w:tr2bl w:val="nil"/>
                  </w:tcBorders>
                  <w:vAlign w:val="center"/>
                </w:tcPr>
                <w:p w14:paraId="0EE49E94">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13.事故废水暂存能力或拦截设施变化，导致环境风险防范能力弱化或降低的。</w:t>
                  </w:r>
                </w:p>
              </w:tc>
              <w:tc>
                <w:tcPr>
                  <w:tcW w:w="1737" w:type="pct"/>
                  <w:tcBorders>
                    <w:tl2br w:val="nil"/>
                    <w:tr2bl w:val="nil"/>
                  </w:tcBorders>
                  <w:vAlign w:val="center"/>
                </w:tcPr>
                <w:p w14:paraId="07C122BF">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项目</w:t>
                  </w:r>
                  <w:r>
                    <w:rPr>
                      <w:rFonts w:hint="eastAsia" w:ascii="Times New Roman" w:hAnsi="Times New Roman" w:eastAsia="宋体" w:cs="Times New Roman"/>
                      <w:color w:val="auto"/>
                      <w:sz w:val="21"/>
                      <w:szCs w:val="21"/>
                      <w:lang w:val="en-US" w:eastAsia="zh-CN"/>
                    </w:rPr>
                    <w:t>事故废水暂存能力或拦截设施</w:t>
                  </w:r>
                  <w:r>
                    <w:rPr>
                      <w:rFonts w:hint="eastAsia" w:cs="Times New Roman"/>
                      <w:color w:val="auto"/>
                      <w:sz w:val="21"/>
                      <w:szCs w:val="21"/>
                      <w:lang w:val="en-US" w:eastAsia="zh-CN"/>
                    </w:rPr>
                    <w:t>与环评对比未发生变化</w:t>
                  </w:r>
                  <w:r>
                    <w:rPr>
                      <w:rFonts w:hint="eastAsia" w:ascii="Times New Roman" w:hAnsi="Times New Roman" w:eastAsia="宋体" w:cs="Times New Roman"/>
                      <w:color w:val="auto"/>
                      <w:sz w:val="21"/>
                      <w:szCs w:val="21"/>
                      <w:lang w:val="en-US" w:eastAsia="zh-CN"/>
                    </w:rPr>
                    <w:t>。</w:t>
                  </w:r>
                </w:p>
              </w:tc>
              <w:tc>
                <w:tcPr>
                  <w:tcW w:w="646" w:type="pct"/>
                  <w:tcBorders>
                    <w:tl2br w:val="nil"/>
                    <w:tr2bl w:val="nil"/>
                  </w:tcBorders>
                  <w:vAlign w:val="center"/>
                </w:tcPr>
                <w:p w14:paraId="770B4E75">
                  <w:pPr>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不属于</w:t>
                  </w:r>
                </w:p>
              </w:tc>
            </w:tr>
          </w:tbl>
          <w:p w14:paraId="3F299D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综上所述，项目</w:t>
            </w:r>
            <w:r>
              <w:rPr>
                <w:rFonts w:hint="eastAsia" w:cs="Times New Roman"/>
                <w:color w:val="000000" w:themeColor="text1"/>
                <w:sz w:val="24"/>
                <w:szCs w:val="24"/>
                <w:lang w:val="en-US" w:eastAsia="zh-CN"/>
                <w14:textFill>
                  <w14:solidFill>
                    <w14:schemeClr w14:val="tx1"/>
                  </w14:solidFill>
                </w14:textFill>
              </w:rPr>
              <w:t>建设</w:t>
            </w:r>
            <w:r>
              <w:rPr>
                <w:rFonts w:hint="default" w:ascii="Times New Roman" w:hAnsi="Times New Roman" w:cs="Times New Roman"/>
                <w:color w:val="000000" w:themeColor="text1"/>
                <w:sz w:val="24"/>
                <w:szCs w:val="24"/>
                <w:lang w:val="en-US" w:eastAsia="zh-CN"/>
                <w14:textFill>
                  <w14:solidFill>
                    <w14:schemeClr w14:val="tx1"/>
                  </w14:solidFill>
                </w14:textFill>
              </w:rPr>
              <w:t>性质、规模、地点、生产工艺</w:t>
            </w:r>
            <w:r>
              <w:rPr>
                <w:rFonts w:hint="eastAsia" w:cs="Times New Roman"/>
                <w:color w:val="000000" w:themeColor="text1"/>
                <w:sz w:val="24"/>
                <w:szCs w:val="24"/>
                <w:lang w:val="en-US" w:eastAsia="zh-CN"/>
                <w14:textFill>
                  <w14:solidFill>
                    <w14:schemeClr w14:val="tx1"/>
                  </w14:solidFill>
                </w14:textFill>
              </w:rPr>
              <w:t>和</w:t>
            </w:r>
            <w:r>
              <w:rPr>
                <w:rFonts w:hint="default" w:ascii="Times New Roman" w:hAnsi="Times New Roman" w:cs="Times New Roman"/>
                <w:color w:val="000000" w:themeColor="text1"/>
                <w:sz w:val="24"/>
                <w:szCs w:val="24"/>
                <w:lang w:val="en-US" w:eastAsia="zh-CN"/>
                <w14:textFill>
                  <w14:solidFill>
                    <w14:schemeClr w14:val="tx1"/>
                  </w14:solidFill>
                </w14:textFill>
              </w:rPr>
              <w:t>环境保护措施</w:t>
            </w:r>
            <w:r>
              <w:rPr>
                <w:rFonts w:hint="eastAsia" w:cs="Times New Roman"/>
                <w:color w:val="000000" w:themeColor="text1"/>
                <w:sz w:val="24"/>
                <w:szCs w:val="24"/>
                <w:lang w:val="en-US" w:eastAsia="zh-CN"/>
                <w14:textFill>
                  <w14:solidFill>
                    <w14:schemeClr w14:val="tx1"/>
                  </w14:solidFill>
                </w14:textFill>
              </w:rPr>
              <w:t>五个因素与环评对比均未发生重大变动</w:t>
            </w:r>
            <w:r>
              <w:rPr>
                <w:rFonts w:hint="default" w:ascii="Times New Roman" w:hAnsi="Times New Roman" w:cs="Times New Roman"/>
                <w:color w:val="000000"/>
                <w:sz w:val="24"/>
                <w:szCs w:val="24"/>
                <w:lang w:val="en-US" w:eastAsia="zh-CN"/>
              </w:rPr>
              <w:t>。</w:t>
            </w:r>
          </w:p>
          <w:p w14:paraId="07DDA9F2">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lang w:eastAsia="zh-CN"/>
              </w:rPr>
            </w:pPr>
            <w:r>
              <w:rPr>
                <w:rFonts w:hint="default"/>
                <w:b/>
                <w:bCs/>
                <w:sz w:val="24"/>
                <w:szCs w:val="24"/>
              </w:rPr>
              <w:t>主要工艺流程及产</w:t>
            </w:r>
            <w:r>
              <w:rPr>
                <w:rFonts w:hint="eastAsia"/>
                <w:b/>
                <w:bCs/>
                <w:sz w:val="24"/>
                <w:szCs w:val="24"/>
                <w:lang w:eastAsia="zh-CN"/>
              </w:rPr>
              <w:t>污</w:t>
            </w:r>
            <w:r>
              <w:rPr>
                <w:rFonts w:hint="default"/>
                <w:b/>
                <w:bCs/>
                <w:sz w:val="24"/>
                <w:szCs w:val="24"/>
              </w:rPr>
              <w:t>环节</w:t>
            </w:r>
            <w:r>
              <w:rPr>
                <w:rFonts w:hint="eastAsia"/>
                <w:b/>
                <w:bCs/>
                <w:sz w:val="24"/>
                <w:szCs w:val="24"/>
                <w:lang w:eastAsia="zh-CN"/>
              </w:rPr>
              <w:t>：</w:t>
            </w:r>
          </w:p>
          <w:p w14:paraId="4409A6C6">
            <w:pPr>
              <w:widowControl w:val="0"/>
              <w:autoSpaceDE w:val="0"/>
              <w:autoSpaceDN w:val="0"/>
              <w:spacing w:before="1" w:after="0" w:line="360" w:lineRule="auto"/>
              <w:ind w:right="0" w:firstLine="480" w:firstLineChars="200"/>
              <w:jc w:val="left"/>
              <w:rPr>
                <w:rFonts w:hint="default" w:ascii="Times New Roman" w:hAnsi="Times New Roman" w:eastAsia="宋体" w:cs="Times New Roman"/>
                <w:b w:val="0"/>
                <w:bCs w:val="0"/>
                <w:color w:val="auto"/>
                <w:sz w:val="24"/>
                <w:szCs w:val="24"/>
                <w:lang w:val="en-US" w:eastAsia="zh-CN" w:bidi="zh-CN"/>
              </w:rPr>
            </w:pPr>
            <w:r>
              <w:rPr>
                <w:rFonts w:hint="default" w:ascii="Times New Roman" w:hAnsi="Times New Roman" w:eastAsia="宋体" w:cs="Times New Roman"/>
                <w:color w:val="auto"/>
                <w:sz w:val="24"/>
                <w:szCs w:val="24"/>
                <w:lang w:eastAsia="zh-CN"/>
              </w:rPr>
              <w:t>项目</w:t>
            </w:r>
            <w:r>
              <w:rPr>
                <w:rFonts w:hint="eastAsia" w:ascii="Times New Roman" w:hAnsi="Times New Roman" w:eastAsia="宋体" w:cs="Times New Roman"/>
                <w:b w:val="0"/>
                <w:bCs w:val="0"/>
                <w:color w:val="auto"/>
                <w:kern w:val="2"/>
                <w:sz w:val="24"/>
                <w:szCs w:val="24"/>
                <w:lang w:val="en-US" w:eastAsia="zh-CN" w:bidi="zh-CN"/>
              </w:rPr>
              <w:t>生产工艺流程</w:t>
            </w:r>
            <w:r>
              <w:rPr>
                <w:rFonts w:hint="eastAsia" w:ascii="Times New Roman" w:hAnsi="Times New Roman" w:cs="Times New Roman"/>
                <w:b w:val="0"/>
                <w:bCs w:val="0"/>
                <w:color w:val="auto"/>
                <w:kern w:val="2"/>
                <w:sz w:val="24"/>
                <w:szCs w:val="24"/>
                <w:lang w:val="en-US" w:eastAsia="zh-CN" w:bidi="zh-CN"/>
              </w:rPr>
              <w:t>：</w:t>
            </w:r>
          </w:p>
          <w:p w14:paraId="61B601BD">
            <w:pPr>
              <w:widowControl w:val="0"/>
              <w:autoSpaceDE w:val="0"/>
              <w:autoSpaceDN w:val="0"/>
              <w:spacing w:before="1" w:after="0" w:line="360" w:lineRule="auto"/>
              <w:ind w:right="0"/>
              <w:jc w:val="center"/>
              <w:rPr>
                <w:rFonts w:hint="default" w:ascii="Times New Roman" w:hAnsi="Times New Roman" w:eastAsia="宋体" w:cs="Times New Roman"/>
                <w:b w:val="0"/>
                <w:bCs w:val="0"/>
                <w:color w:val="auto"/>
                <w:sz w:val="24"/>
                <w:szCs w:val="24"/>
                <w:lang w:val="en-US" w:eastAsia="zh-CN" w:bidi="zh-CN"/>
              </w:rPr>
            </w:pPr>
            <w:r>
              <w:drawing>
                <wp:inline distT="0" distB="0" distL="114300" distR="114300">
                  <wp:extent cx="3667125" cy="2647950"/>
                  <wp:effectExtent l="0" t="0" r="9525" b="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8"/>
                          <a:stretch>
                            <a:fillRect/>
                          </a:stretch>
                        </pic:blipFill>
                        <pic:spPr>
                          <a:xfrm>
                            <a:off x="0" y="0"/>
                            <a:ext cx="3667125" cy="2647950"/>
                          </a:xfrm>
                          <a:prstGeom prst="rect">
                            <a:avLst/>
                          </a:prstGeom>
                          <a:noFill/>
                          <a:ln>
                            <a:noFill/>
                          </a:ln>
                        </pic:spPr>
                      </pic:pic>
                    </a:graphicData>
                  </a:graphic>
                </wp:inline>
              </w:drawing>
            </w:r>
          </w:p>
          <w:p w14:paraId="43FA93FE">
            <w:pPr>
              <w:widowControl w:val="0"/>
              <w:autoSpaceDE w:val="0"/>
              <w:autoSpaceDN w:val="0"/>
              <w:spacing w:before="1" w:after="0" w:line="360" w:lineRule="auto"/>
              <w:ind w:right="0"/>
              <w:jc w:val="center"/>
              <w:rPr>
                <w:rFonts w:hint="default" w:ascii="Times New Roman" w:hAnsi="Times New Roman" w:eastAsia="宋体" w:cs="Times New Roman"/>
                <w:b/>
                <w:bCs/>
                <w:color w:val="auto"/>
                <w:sz w:val="21"/>
                <w:szCs w:val="21"/>
                <w:lang w:val="en-US" w:eastAsia="zh-CN" w:bidi="zh-CN"/>
              </w:rPr>
            </w:pPr>
            <w:r>
              <w:rPr>
                <w:rFonts w:hint="default" w:ascii="Times New Roman" w:hAnsi="Times New Roman" w:eastAsia="宋体" w:cs="Times New Roman"/>
                <w:b/>
                <w:bCs/>
                <w:color w:val="auto"/>
                <w:sz w:val="21"/>
                <w:szCs w:val="21"/>
                <w:lang w:val="en-US" w:eastAsia="zh-CN" w:bidi="zh-CN"/>
              </w:rPr>
              <w:t>图2-1 工艺流程及产污</w:t>
            </w:r>
            <w:r>
              <w:rPr>
                <w:rFonts w:hint="eastAsia" w:ascii="Times New Roman" w:hAnsi="Times New Roman" w:eastAsia="宋体" w:cs="Times New Roman"/>
                <w:b/>
                <w:bCs/>
                <w:color w:val="auto"/>
                <w:sz w:val="21"/>
                <w:szCs w:val="21"/>
                <w:lang w:val="en-US" w:eastAsia="zh-CN" w:bidi="zh-CN"/>
              </w:rPr>
              <w:t>环节</w:t>
            </w:r>
            <w:r>
              <w:rPr>
                <w:rFonts w:hint="default" w:ascii="Times New Roman" w:hAnsi="Times New Roman" w:eastAsia="宋体" w:cs="Times New Roman"/>
                <w:b/>
                <w:bCs/>
                <w:color w:val="auto"/>
                <w:sz w:val="21"/>
                <w:szCs w:val="21"/>
                <w:lang w:val="en-US" w:eastAsia="zh-CN" w:bidi="zh-CN"/>
              </w:rPr>
              <w:t>图</w:t>
            </w:r>
          </w:p>
          <w:p w14:paraId="464A9658">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right="0" w:rightChars="0" w:firstLine="480" w:firstLineChars="200"/>
              <w:jc w:val="left"/>
              <w:textAlignment w:val="auto"/>
              <w:rPr>
                <w:rFonts w:hint="default" w:ascii="Times New Roman" w:hAnsi="Times New Roman" w:cs="Times New Roman"/>
                <w:bCs/>
                <w:color w:val="000000"/>
                <w:sz w:val="24"/>
                <w:szCs w:val="24"/>
                <w:lang w:val="en-US" w:eastAsia="zh-CN"/>
              </w:rPr>
            </w:pPr>
            <w:r>
              <w:rPr>
                <w:rFonts w:hint="default" w:ascii="Times New Roman" w:hAnsi="Times New Roman" w:cs="Times New Roman"/>
                <w:bCs/>
                <w:color w:val="000000"/>
                <w:sz w:val="24"/>
                <w:szCs w:val="24"/>
                <w:lang w:val="en-US" w:eastAsia="zh-CN"/>
              </w:rPr>
              <w:t>工艺流程说明：</w:t>
            </w:r>
          </w:p>
          <w:p w14:paraId="5A6B5C45">
            <w:pPr>
              <w:keepNext w:val="0"/>
              <w:keepLines w:val="0"/>
              <w:pageBreakBefore w:val="0"/>
              <w:widowControl w:val="0"/>
              <w:kinsoku/>
              <w:wordWrap/>
              <w:overflowPunct/>
              <w:topLinePunct/>
              <w:autoSpaceDE/>
              <w:autoSpaceDN/>
              <w:bidi w:val="0"/>
              <w:adjustRightInd/>
              <w:snapToGrid/>
              <w:spacing w:line="360" w:lineRule="auto"/>
              <w:ind w:firstLine="480" w:firstLineChars="200"/>
              <w:rPr>
                <w:rFonts w:hint="eastAsia" w:ascii="Times New Roman" w:hAnsi="Times New Roman" w:eastAsia="宋体" w:cs="Times New Roman"/>
                <w:color w:val="auto"/>
                <w:sz w:val="24"/>
                <w:lang w:eastAsia="zh-CN"/>
              </w:rPr>
            </w:pPr>
            <w:r>
              <w:rPr>
                <w:rFonts w:hint="default" w:ascii="Times New Roman" w:hAnsi="Times New Roman" w:eastAsia="宋体" w:cs="Times New Roman"/>
                <w:b w:val="0"/>
                <w:bCs w:val="0"/>
                <w:color w:val="auto"/>
                <w:sz w:val="24"/>
                <w:szCs w:val="24"/>
                <w:lang w:val="en-US" w:eastAsia="zh-CN" w:bidi="zh-CN"/>
              </w:rPr>
              <w:t>（1）投料：</w:t>
            </w:r>
            <w:r>
              <w:rPr>
                <w:rFonts w:hint="default" w:ascii="Times New Roman" w:hAnsi="Times New Roman" w:cs="Times New Roman"/>
                <w:color w:val="auto"/>
                <w:sz w:val="24"/>
              </w:rPr>
              <w:t>原料为</w:t>
            </w:r>
            <w:r>
              <w:rPr>
                <w:rFonts w:hint="default" w:ascii="Times New Roman" w:hAnsi="Times New Roman" w:cs="Times New Roman"/>
                <w:color w:val="auto"/>
                <w:sz w:val="24"/>
                <w:lang w:eastAsia="zh-CN"/>
              </w:rPr>
              <w:t>袋装（50</w:t>
            </w:r>
            <w:r>
              <w:rPr>
                <w:rFonts w:hint="eastAsia" w:ascii="Times New Roman" w:hAnsi="Times New Roman" w:cs="Times New Roman"/>
                <w:color w:val="auto"/>
                <w:sz w:val="24"/>
                <w:lang w:val="en-US" w:eastAsia="zh-CN"/>
              </w:rPr>
              <w:t>公斤</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，在原料</w:t>
            </w:r>
            <w:r>
              <w:rPr>
                <w:rFonts w:hint="default" w:ascii="Times New Roman" w:hAnsi="Times New Roman" w:cs="Times New Roman"/>
                <w:color w:val="auto"/>
                <w:sz w:val="24"/>
                <w:lang w:val="en-US" w:eastAsia="zh-CN"/>
              </w:rPr>
              <w:t>区</w:t>
            </w:r>
            <w:r>
              <w:rPr>
                <w:rFonts w:hint="default" w:ascii="Times New Roman" w:hAnsi="Times New Roman" w:cs="Times New Roman"/>
                <w:color w:val="auto"/>
                <w:sz w:val="24"/>
              </w:rPr>
              <w:t>贮存，生产时采用</w:t>
            </w:r>
            <w:r>
              <w:rPr>
                <w:rFonts w:hint="default" w:ascii="Times New Roman" w:hAnsi="Times New Roman" w:cs="Times New Roman"/>
                <w:color w:val="auto"/>
                <w:sz w:val="24"/>
                <w:lang w:val="en-US" w:eastAsia="zh-CN"/>
              </w:rPr>
              <w:t>叉车</w:t>
            </w:r>
            <w:r>
              <w:rPr>
                <w:rFonts w:hint="default" w:ascii="Times New Roman" w:hAnsi="Times New Roman" w:cs="Times New Roman"/>
                <w:color w:val="auto"/>
                <w:sz w:val="24"/>
              </w:rPr>
              <w:t>吊装到</w:t>
            </w:r>
            <w:r>
              <w:rPr>
                <w:rFonts w:hint="default" w:ascii="Times New Roman" w:hAnsi="Times New Roman" w:cs="Times New Roman"/>
                <w:color w:val="auto"/>
                <w:sz w:val="24"/>
                <w:lang w:val="en-US" w:eastAsia="zh-CN"/>
              </w:rPr>
              <w:t>卧式螺带混合机投</w:t>
            </w:r>
            <w:r>
              <w:rPr>
                <w:rFonts w:hint="default" w:ascii="Times New Roman" w:hAnsi="Times New Roman" w:cs="Times New Roman"/>
                <w:color w:val="auto"/>
                <w:sz w:val="24"/>
              </w:rPr>
              <w:t>料料斗上方，打开包装，物料通过下部开口落入投料料斗中，</w:t>
            </w:r>
            <w:r>
              <w:rPr>
                <w:rFonts w:hint="default" w:ascii="Times New Roman" w:hAnsi="Times New Roman" w:cs="Times New Roman"/>
                <w:color w:val="auto"/>
                <w:sz w:val="24"/>
                <w:lang w:val="en-US" w:eastAsia="zh-CN"/>
              </w:rPr>
              <w:t>按照原料配比，将</w:t>
            </w:r>
            <w:bookmarkStart w:id="13" w:name="OLE_LINK27"/>
            <w:r>
              <w:rPr>
                <w:rFonts w:hint="default" w:ascii="Times New Roman" w:hAnsi="Times New Roman" w:cs="Times New Roman"/>
                <w:color w:val="auto"/>
                <w:sz w:val="24"/>
                <w:lang w:val="en-US" w:eastAsia="zh-CN"/>
              </w:rPr>
              <w:t>钠长石、钾长石、石英、高岭土、氧化铝、烧土、烧滑石、霞石等原料</w:t>
            </w:r>
            <w:bookmarkEnd w:id="13"/>
            <w:r>
              <w:rPr>
                <w:rFonts w:hint="default" w:ascii="Times New Roman" w:hAnsi="Times New Roman" w:cs="Times New Roman"/>
                <w:color w:val="auto"/>
                <w:sz w:val="24"/>
              </w:rPr>
              <w:t>通过</w:t>
            </w:r>
            <w:r>
              <w:rPr>
                <w:rFonts w:hint="default" w:ascii="Times New Roman" w:hAnsi="Times New Roman" w:cs="Times New Roman"/>
                <w:color w:val="auto"/>
                <w:sz w:val="24"/>
                <w:lang w:val="en-US" w:eastAsia="zh-CN"/>
              </w:rPr>
              <w:t>投</w:t>
            </w:r>
            <w:r>
              <w:rPr>
                <w:rFonts w:hint="default" w:ascii="Times New Roman" w:hAnsi="Times New Roman" w:cs="Times New Roman"/>
                <w:color w:val="auto"/>
                <w:sz w:val="24"/>
              </w:rPr>
              <w:t>料系统进入</w:t>
            </w:r>
            <w:r>
              <w:rPr>
                <w:rFonts w:hint="default" w:ascii="Times New Roman" w:hAnsi="Times New Roman" w:cs="Times New Roman"/>
                <w:color w:val="auto"/>
                <w:sz w:val="24"/>
                <w:lang w:val="en-US" w:eastAsia="zh-CN"/>
              </w:rPr>
              <w:t>卧式螺带混合机内</w:t>
            </w:r>
            <w:r>
              <w:rPr>
                <w:rFonts w:hint="default" w:ascii="Times New Roman" w:hAnsi="Times New Roman" w:cs="Times New Roman"/>
                <w:color w:val="auto"/>
                <w:sz w:val="24"/>
              </w:rPr>
              <w:t>。投料口旁设置有除尘口，除尘口设置</w:t>
            </w:r>
            <w:r>
              <w:rPr>
                <w:rFonts w:hint="default" w:ascii="Times New Roman" w:hAnsi="Times New Roman" w:cs="Times New Roman"/>
                <w:color w:val="auto"/>
                <w:sz w:val="24"/>
                <w:lang w:val="en-US" w:eastAsia="zh-CN"/>
              </w:rPr>
              <w:t>密闭罩并连接密闭管道，配</w:t>
            </w:r>
            <w:r>
              <w:rPr>
                <w:rFonts w:hint="default" w:ascii="Times New Roman" w:hAnsi="Times New Roman" w:cs="Times New Roman"/>
                <w:color w:val="auto"/>
                <w:sz w:val="24"/>
              </w:rPr>
              <w:t>料</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投料</w:t>
            </w:r>
            <w:r>
              <w:rPr>
                <w:rFonts w:hint="default" w:ascii="Times New Roman" w:hAnsi="Times New Roman" w:cs="Times New Roman"/>
                <w:color w:val="auto"/>
                <w:sz w:val="24"/>
              </w:rPr>
              <w:t>产生</w:t>
            </w:r>
            <w:r>
              <w:rPr>
                <w:rFonts w:hint="default" w:ascii="Times New Roman" w:hAnsi="Times New Roman" w:cs="Times New Roman"/>
                <w:color w:val="auto"/>
                <w:sz w:val="24"/>
                <w:lang w:val="en-US" w:eastAsia="zh-CN"/>
              </w:rPr>
              <w:t>少量</w:t>
            </w:r>
            <w:r>
              <w:rPr>
                <w:rFonts w:hint="default" w:ascii="Times New Roman" w:hAnsi="Times New Roman" w:cs="Times New Roman"/>
                <w:color w:val="auto"/>
                <w:sz w:val="24"/>
              </w:rPr>
              <w:t>粉尘</w:t>
            </w:r>
            <w:r>
              <w:rPr>
                <w:rFonts w:hint="eastAsia" w:ascii="Times New Roman" w:hAnsi="Times New Roman" w:cs="Times New Roman"/>
                <w:color w:val="auto"/>
                <w:sz w:val="24"/>
                <w:lang w:eastAsia="zh-CN"/>
              </w:rPr>
              <w:t>。</w:t>
            </w:r>
          </w:p>
          <w:p w14:paraId="491BD2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baseline"/>
              <w:rPr>
                <w:rFonts w:hint="default" w:ascii="Times New Roman" w:hAnsi="Times New Roman" w:eastAsia="宋体" w:cs="Times New Roman"/>
                <w:b w:val="0"/>
                <w:bCs w:val="0"/>
                <w:color w:val="auto"/>
                <w:sz w:val="24"/>
                <w:szCs w:val="24"/>
                <w:lang w:val="en-US" w:eastAsia="zh-CN" w:bidi="zh-CN"/>
              </w:rPr>
            </w:pPr>
            <w:r>
              <w:rPr>
                <w:rFonts w:hint="default" w:ascii="Times New Roman" w:hAnsi="Times New Roman" w:cs="Times New Roman"/>
                <w:color w:val="auto"/>
                <w:sz w:val="24"/>
              </w:rPr>
              <w:t>该工序产生的主要污染物有投料粉尘及设备运行噪声</w:t>
            </w:r>
            <w:r>
              <w:rPr>
                <w:rFonts w:hint="default" w:ascii="Times New Roman" w:hAnsi="Times New Roman" w:eastAsia="宋体" w:cs="Times New Roman"/>
                <w:b w:val="0"/>
                <w:bCs w:val="0"/>
                <w:color w:val="auto"/>
                <w:sz w:val="24"/>
                <w:szCs w:val="24"/>
                <w:lang w:val="en-US" w:eastAsia="zh-CN" w:bidi="zh-CN"/>
              </w:rPr>
              <w:t>。</w:t>
            </w:r>
          </w:p>
          <w:p w14:paraId="4E01E891">
            <w:pPr>
              <w:keepNext w:val="0"/>
              <w:keepLines w:val="0"/>
              <w:pageBreakBefore w:val="0"/>
              <w:widowControl w:val="0"/>
              <w:kinsoku/>
              <w:wordWrap/>
              <w:overflowPunct/>
              <w:topLinePunct/>
              <w:autoSpaceDE/>
              <w:autoSpaceDN/>
              <w:bidi w:val="0"/>
              <w:adjustRightInd/>
              <w:snapToGrid/>
              <w:spacing w:line="360" w:lineRule="auto"/>
              <w:ind w:firstLine="480" w:firstLineChars="200"/>
              <w:rPr>
                <w:rFonts w:hint="default" w:ascii="Times New Roman" w:hAnsi="Times New Roman" w:cs="Times New Roman"/>
                <w:color w:val="auto"/>
                <w:sz w:val="24"/>
              </w:rPr>
            </w:pPr>
            <w:r>
              <w:rPr>
                <w:rFonts w:hint="default" w:ascii="Times New Roman" w:hAnsi="Times New Roman" w:eastAsia="宋体" w:cs="Times New Roman"/>
                <w:b w:val="0"/>
                <w:bCs w:val="0"/>
                <w:color w:val="auto"/>
                <w:sz w:val="24"/>
                <w:szCs w:val="24"/>
                <w:lang w:val="en-US" w:eastAsia="zh-CN" w:bidi="zh-CN"/>
              </w:rPr>
              <w:t>（2）混合搅拌：</w:t>
            </w:r>
            <w:r>
              <w:rPr>
                <w:rFonts w:hint="default" w:ascii="Times New Roman" w:hAnsi="Times New Roman" w:cs="Times New Roman"/>
                <w:color w:val="auto"/>
                <w:sz w:val="24"/>
              </w:rPr>
              <w:t>混料</w:t>
            </w:r>
            <w:r>
              <w:rPr>
                <w:rFonts w:hint="default" w:ascii="Times New Roman" w:hAnsi="Times New Roman" w:cs="Times New Roman"/>
                <w:color w:val="auto"/>
                <w:sz w:val="24"/>
                <w:lang w:val="en-US" w:eastAsia="zh-CN"/>
              </w:rPr>
              <w:t>搅拌</w:t>
            </w:r>
            <w:r>
              <w:rPr>
                <w:rFonts w:hint="default" w:ascii="Times New Roman" w:hAnsi="Times New Roman" w:cs="Times New Roman"/>
                <w:color w:val="auto"/>
                <w:sz w:val="24"/>
              </w:rPr>
              <w:t>的主要目的是将</w:t>
            </w:r>
            <w:r>
              <w:rPr>
                <w:rFonts w:hint="default" w:ascii="Times New Roman" w:hAnsi="Times New Roman" w:cs="Times New Roman"/>
                <w:color w:val="auto"/>
                <w:sz w:val="24"/>
                <w:lang w:val="en-US" w:eastAsia="zh-CN"/>
              </w:rPr>
              <w:t>钠长石、钾长石、石英、高岭土、氧化铝、烧土、烧滑石、霞石等原料</w:t>
            </w:r>
            <w:r>
              <w:rPr>
                <w:rFonts w:hint="default" w:ascii="Times New Roman" w:hAnsi="Times New Roman" w:cs="Times New Roman"/>
                <w:color w:val="auto"/>
                <w:sz w:val="24"/>
              </w:rPr>
              <w:t>混合均匀。</w:t>
            </w:r>
            <w:r>
              <w:rPr>
                <w:rFonts w:hint="default" w:ascii="Times New Roman" w:hAnsi="Times New Roman" w:cs="Times New Roman"/>
                <w:color w:val="auto"/>
                <w:sz w:val="24"/>
                <w:lang w:val="en-US" w:eastAsia="zh-CN"/>
              </w:rPr>
              <w:t>原料经投料</w:t>
            </w:r>
            <w:r>
              <w:rPr>
                <w:rFonts w:hint="default" w:ascii="Times New Roman" w:hAnsi="Times New Roman" w:cs="Times New Roman"/>
                <w:color w:val="auto"/>
                <w:sz w:val="24"/>
              </w:rPr>
              <w:t>进入</w:t>
            </w:r>
            <w:r>
              <w:rPr>
                <w:rFonts w:hint="default" w:ascii="Times New Roman" w:hAnsi="Times New Roman" w:cs="Times New Roman"/>
                <w:color w:val="auto"/>
                <w:sz w:val="24"/>
                <w:lang w:eastAsia="zh-CN"/>
              </w:rPr>
              <w:t>卧式螺带混合机</w:t>
            </w:r>
            <w:r>
              <w:rPr>
                <w:rFonts w:hint="default" w:ascii="Times New Roman" w:hAnsi="Times New Roman" w:cs="Times New Roman"/>
                <w:color w:val="auto"/>
                <w:sz w:val="24"/>
                <w:lang w:val="en-US" w:eastAsia="zh-CN"/>
              </w:rPr>
              <w:t>后</w:t>
            </w:r>
            <w:r>
              <w:rPr>
                <w:rFonts w:hint="default" w:ascii="Times New Roman" w:hAnsi="Times New Roman" w:cs="Times New Roman"/>
                <w:color w:val="auto"/>
                <w:sz w:val="24"/>
              </w:rPr>
              <w:t>，在</w:t>
            </w:r>
            <w:r>
              <w:rPr>
                <w:rFonts w:hint="default" w:ascii="Times New Roman" w:hAnsi="Times New Roman" w:cs="Times New Roman"/>
                <w:color w:val="auto"/>
                <w:sz w:val="24"/>
                <w:lang w:eastAsia="zh-CN"/>
              </w:rPr>
              <w:t>卧式螺带混合机</w:t>
            </w:r>
            <w:r>
              <w:rPr>
                <w:rFonts w:hint="default" w:ascii="Times New Roman" w:hAnsi="Times New Roman" w:cs="Times New Roman"/>
                <w:color w:val="auto"/>
                <w:sz w:val="24"/>
              </w:rPr>
              <w:t>内搅拌均匀</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单次混合搅拌时间为20min左右</w:t>
            </w:r>
            <w:r>
              <w:rPr>
                <w:rFonts w:hint="default" w:ascii="Times New Roman" w:hAnsi="Times New Roman" w:cs="Times New Roman"/>
                <w:color w:val="auto"/>
                <w:sz w:val="24"/>
              </w:rPr>
              <w:t>。</w:t>
            </w:r>
          </w:p>
          <w:p w14:paraId="3DD412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baseline"/>
              <w:rPr>
                <w:rFonts w:hint="default" w:ascii="Times New Roman" w:hAnsi="Times New Roman" w:cs="Times New Roman"/>
                <w:color w:val="auto"/>
                <w:sz w:val="24"/>
                <w:lang w:eastAsia="zh-CN"/>
              </w:rPr>
            </w:pPr>
            <w:r>
              <w:rPr>
                <w:rFonts w:hint="default" w:ascii="Times New Roman" w:hAnsi="Times New Roman" w:cs="Times New Roman"/>
                <w:color w:val="auto"/>
                <w:sz w:val="24"/>
              </w:rPr>
              <w:t>该工序产生的主要污染物有混合粉尘及设备运行噪声</w:t>
            </w:r>
            <w:r>
              <w:rPr>
                <w:rFonts w:hint="default" w:ascii="Times New Roman" w:hAnsi="Times New Roman" w:cs="Times New Roman"/>
                <w:color w:val="auto"/>
                <w:sz w:val="24"/>
                <w:lang w:eastAsia="zh-CN"/>
              </w:rPr>
              <w:t>。</w:t>
            </w:r>
          </w:p>
          <w:p w14:paraId="25F36E02">
            <w:pPr>
              <w:keepNext w:val="0"/>
              <w:keepLines w:val="0"/>
              <w:pageBreakBefore w:val="0"/>
              <w:widowControl w:val="0"/>
              <w:kinsoku/>
              <w:wordWrap/>
              <w:overflowPunct/>
              <w:topLinePunct/>
              <w:autoSpaceDE/>
              <w:autoSpaceDN/>
              <w:bidi w:val="0"/>
              <w:adjustRightInd/>
              <w:snapToGrid/>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3</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检测：随机选取200g左右物料进行质量检测，即加入适量水经快速球磨机处理后涂抹在瓷砖上通过水冲和在光泽仪下查看光泽度检测质量，若检测不合格则对该批次物料重新进行配料、混合搅拌工艺，直至检测合格。检测合格后检测所用粉料与同批次粉料一起作为成品包装出厂。</w:t>
            </w:r>
          </w:p>
          <w:p w14:paraId="03BDF1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baseline"/>
              <w:rPr>
                <w:rFonts w:hint="default" w:ascii="Times New Roman" w:hAnsi="Times New Roman" w:eastAsia="宋体" w:cs="Times New Roman"/>
                <w:b w:val="0"/>
                <w:bCs w:val="0"/>
                <w:color w:val="auto"/>
                <w:sz w:val="24"/>
                <w:szCs w:val="24"/>
                <w:lang w:val="en-US" w:eastAsia="zh-CN" w:bidi="zh-CN"/>
              </w:rPr>
            </w:pPr>
            <w:r>
              <w:rPr>
                <w:rFonts w:hint="default" w:ascii="Times New Roman" w:hAnsi="Times New Roman" w:cs="Times New Roman"/>
                <w:color w:val="auto"/>
                <w:sz w:val="24"/>
              </w:rPr>
              <w:t>该工序污染物主要为</w:t>
            </w:r>
            <w:r>
              <w:rPr>
                <w:rFonts w:hint="default" w:ascii="Times New Roman" w:hAnsi="Times New Roman" w:cs="Times New Roman"/>
                <w:color w:val="auto"/>
                <w:sz w:val="24"/>
                <w:lang w:val="en-US" w:eastAsia="zh-CN"/>
              </w:rPr>
              <w:t>检测粉尘、检测废水及</w:t>
            </w:r>
            <w:r>
              <w:rPr>
                <w:rFonts w:hint="default" w:ascii="Times New Roman" w:hAnsi="Times New Roman" w:cs="Times New Roman"/>
                <w:color w:val="auto"/>
                <w:sz w:val="24"/>
              </w:rPr>
              <w:t>设备运行噪声</w:t>
            </w:r>
            <w:r>
              <w:rPr>
                <w:rFonts w:hint="default" w:ascii="Times New Roman" w:hAnsi="Times New Roman" w:cs="Times New Roman"/>
                <w:color w:val="auto"/>
                <w:sz w:val="24"/>
                <w:lang w:eastAsia="zh-CN"/>
              </w:rPr>
              <w:t>。</w:t>
            </w:r>
          </w:p>
          <w:p w14:paraId="31008381">
            <w:pPr>
              <w:keepNext w:val="0"/>
              <w:keepLines w:val="0"/>
              <w:pageBreakBefore w:val="0"/>
              <w:widowControl w:val="0"/>
              <w:numPr>
                <w:ilvl w:val="0"/>
                <w:numId w:val="1"/>
              </w:numPr>
              <w:kinsoku/>
              <w:wordWrap/>
              <w:overflowPunct/>
              <w:autoSpaceDE/>
              <w:autoSpaceDN/>
              <w:bidi w:val="0"/>
              <w:adjustRightInd/>
              <w:snapToGrid/>
              <w:spacing w:beforeAutospacing="0" w:afterAutospacing="0" w:line="360" w:lineRule="auto"/>
              <w:ind w:firstLine="480" w:firstLineChars="200"/>
              <w:jc w:val="both"/>
              <w:textAlignment w:val="baseline"/>
              <w:rPr>
                <w:rFonts w:hint="default" w:ascii="Times New Roman" w:hAnsi="Times New Roman" w:cs="Times New Roman"/>
                <w:color w:val="auto"/>
                <w:sz w:val="24"/>
              </w:rPr>
            </w:pPr>
            <w:r>
              <w:rPr>
                <w:rFonts w:hint="default" w:ascii="Times New Roman" w:hAnsi="Times New Roman" w:eastAsia="宋体" w:cs="Times New Roman"/>
                <w:b w:val="0"/>
                <w:i w:val="0"/>
                <w:caps w:val="0"/>
                <w:color w:val="auto"/>
                <w:spacing w:val="0"/>
                <w:w w:val="100"/>
                <w:sz w:val="24"/>
                <w:lang w:val="en-US" w:eastAsia="zh-CN"/>
              </w:rPr>
              <w:t>包装出厂：经</w:t>
            </w:r>
            <w:r>
              <w:rPr>
                <w:rFonts w:hint="default" w:ascii="Times New Roman" w:hAnsi="Times New Roman" w:cs="Times New Roman"/>
                <w:color w:val="auto"/>
                <w:sz w:val="24"/>
                <w:lang w:val="en-US" w:eastAsia="zh-CN"/>
              </w:rPr>
              <w:t>检测合格的</w:t>
            </w:r>
            <w:r>
              <w:rPr>
                <w:rFonts w:hint="default" w:ascii="Times New Roman" w:hAnsi="Times New Roman" w:cs="Times New Roman"/>
                <w:color w:val="auto"/>
                <w:sz w:val="24"/>
              </w:rPr>
              <w:t>物料</w:t>
            </w:r>
            <w:r>
              <w:rPr>
                <w:rFonts w:hint="default" w:ascii="Times New Roman" w:hAnsi="Times New Roman" w:cs="Times New Roman"/>
                <w:color w:val="auto"/>
                <w:sz w:val="24"/>
                <w:lang w:val="en-US" w:eastAsia="zh-CN"/>
              </w:rPr>
              <w:t>直接</w:t>
            </w:r>
            <w:r>
              <w:rPr>
                <w:rFonts w:hint="default" w:ascii="Times New Roman" w:hAnsi="Times New Roman" w:cs="Times New Roman"/>
                <w:color w:val="auto"/>
                <w:sz w:val="24"/>
              </w:rPr>
              <w:t>进行</w:t>
            </w:r>
            <w:r>
              <w:rPr>
                <w:rFonts w:hint="default" w:ascii="Times New Roman" w:hAnsi="Times New Roman" w:cs="Times New Roman"/>
                <w:color w:val="auto"/>
                <w:sz w:val="24"/>
                <w:lang w:val="en-US" w:eastAsia="zh-CN"/>
              </w:rPr>
              <w:t>吨袋</w:t>
            </w:r>
            <w:r>
              <w:rPr>
                <w:rFonts w:hint="default" w:ascii="Times New Roman" w:hAnsi="Times New Roman" w:cs="Times New Roman"/>
                <w:color w:val="auto"/>
                <w:sz w:val="24"/>
              </w:rPr>
              <w:t>包装，</w:t>
            </w:r>
            <w:r>
              <w:rPr>
                <w:rFonts w:hint="default" w:ascii="Times New Roman" w:hAnsi="Times New Roman" w:cs="Times New Roman"/>
                <w:color w:val="auto"/>
                <w:sz w:val="24"/>
                <w:lang w:val="en-US" w:eastAsia="zh-CN"/>
              </w:rPr>
              <w:t>包装后</w:t>
            </w:r>
            <w:r>
              <w:rPr>
                <w:rFonts w:hint="default" w:ascii="Times New Roman" w:hAnsi="Times New Roman" w:cs="Times New Roman"/>
                <w:color w:val="auto"/>
                <w:sz w:val="24"/>
              </w:rPr>
              <w:t>入成品区</w:t>
            </w:r>
            <w:r>
              <w:rPr>
                <w:rFonts w:hint="default" w:ascii="Times New Roman" w:hAnsi="Times New Roman" w:cs="Times New Roman"/>
                <w:color w:val="auto"/>
                <w:sz w:val="24"/>
                <w:lang w:val="en-US" w:eastAsia="zh-CN"/>
              </w:rPr>
              <w:t>暂存</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产生的包装粉尘</w:t>
            </w:r>
            <w:r>
              <w:rPr>
                <w:rFonts w:hint="default" w:ascii="Times New Roman" w:hAnsi="Times New Roman" w:cs="Times New Roman"/>
                <w:color w:val="auto"/>
                <w:sz w:val="24"/>
                <w:lang w:val="en-US" w:eastAsia="zh-CN"/>
              </w:rPr>
              <w:t>于车间内无组织排放</w:t>
            </w:r>
            <w:r>
              <w:rPr>
                <w:rFonts w:hint="default" w:ascii="Times New Roman" w:hAnsi="Times New Roman" w:cs="Times New Roman"/>
                <w:color w:val="auto"/>
                <w:sz w:val="24"/>
              </w:rPr>
              <w:t>。</w:t>
            </w:r>
          </w:p>
          <w:p w14:paraId="432722E4">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3B9685F6">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38C359FE">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7F80D4C7">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560B0EA7">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3F7CB243">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560E55FA">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07048766">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35C59D8E">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699143F1">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Times New Roman" w:hAnsi="Times New Roman" w:cs="Times New Roman"/>
                <w:color w:val="auto"/>
                <w:sz w:val="24"/>
                <w:lang w:eastAsia="zh-CN"/>
              </w:rPr>
            </w:pPr>
          </w:p>
          <w:p w14:paraId="1DDCB713">
            <w:pPr>
              <w:keepNext w:val="0"/>
              <w:keepLines w:val="0"/>
              <w:pageBreakBefore w:val="0"/>
              <w:widowControl w:val="0"/>
              <w:numPr>
                <w:ilvl w:val="0"/>
                <w:numId w:val="0"/>
              </w:numPr>
              <w:kinsoku/>
              <w:wordWrap/>
              <w:overflowPunct/>
              <w:autoSpaceDE/>
              <w:autoSpaceDN/>
              <w:bidi w:val="0"/>
              <w:adjustRightInd/>
              <w:snapToGrid/>
              <w:spacing w:beforeAutospacing="0" w:afterAutospacing="0" w:line="360" w:lineRule="auto"/>
              <w:jc w:val="both"/>
              <w:textAlignment w:val="baseline"/>
              <w:rPr>
                <w:rFonts w:hint="eastAsia" w:ascii="宋体" w:hAnsi="宋体" w:eastAsia="宋体"/>
                <w:color w:val="auto"/>
                <w:sz w:val="24"/>
                <w:szCs w:val="24"/>
                <w:lang w:eastAsia="zh-CN"/>
              </w:rPr>
            </w:pPr>
          </w:p>
        </w:tc>
      </w:tr>
    </w:tbl>
    <w:p w14:paraId="1E7CD52F">
      <w:pPr>
        <w:pStyle w:val="2"/>
        <w:rPr>
          <w:color w:val="000000"/>
          <w:sz w:val="28"/>
          <w:szCs w:val="28"/>
        </w:rPr>
        <w:sectPr>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14" w:name="_Toc13231"/>
    </w:p>
    <w:p w14:paraId="10B53D9F">
      <w:pPr>
        <w:pStyle w:val="2"/>
        <w:rPr>
          <w:rFonts w:hint="eastAsia"/>
          <w:color w:val="000000"/>
          <w:sz w:val="28"/>
          <w:szCs w:val="28"/>
        </w:rPr>
      </w:pPr>
      <w:bookmarkStart w:id="15" w:name="_Toc1384"/>
      <w:bookmarkStart w:id="16" w:name="_Toc5382"/>
      <w:bookmarkStart w:id="17" w:name="_Toc14744"/>
      <w:r>
        <w:rPr>
          <w:color w:val="000000"/>
          <w:sz w:val="28"/>
          <w:szCs w:val="28"/>
        </w:rPr>
        <w:t>表</w:t>
      </w:r>
      <w:r>
        <w:rPr>
          <w:rFonts w:hint="eastAsia"/>
          <w:color w:val="000000"/>
          <w:sz w:val="28"/>
          <w:szCs w:val="28"/>
        </w:rPr>
        <w:t>三</w:t>
      </w:r>
      <w:r>
        <w:rPr>
          <w:rFonts w:hint="eastAsia"/>
          <w:color w:val="000000"/>
          <w:sz w:val="28"/>
          <w:szCs w:val="28"/>
          <w:lang w:val="en-US" w:eastAsia="zh-CN"/>
        </w:rPr>
        <w:t xml:space="preserve"> </w:t>
      </w:r>
      <w:r>
        <w:rPr>
          <w:rFonts w:hint="eastAsia"/>
          <w:color w:val="000000"/>
          <w:sz w:val="28"/>
          <w:szCs w:val="28"/>
        </w:rPr>
        <w:t>主要污染源、污染物处理和排放</w:t>
      </w:r>
      <w:bookmarkEnd w:id="14"/>
      <w:bookmarkEnd w:id="15"/>
      <w:bookmarkEnd w:id="16"/>
      <w:bookmarkEnd w:id="17"/>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A3E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14:paraId="7C8E966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 废水</w:t>
            </w:r>
          </w:p>
          <w:p w14:paraId="61AB6B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项目废水</w:t>
            </w:r>
            <w:r>
              <w:rPr>
                <w:rFonts w:hint="eastAsia" w:ascii="Times New Roman" w:hAnsi="Times New Roman" w:cs="Times New Roman"/>
                <w:sz w:val="24"/>
                <w:szCs w:val="24"/>
                <w:lang w:val="en-US" w:eastAsia="zh-CN"/>
              </w:rPr>
              <w:t>主要</w:t>
            </w:r>
            <w:r>
              <w:rPr>
                <w:rFonts w:hint="default" w:ascii="Times New Roman" w:hAnsi="Times New Roman" w:eastAsia="宋体" w:cs="Times New Roman"/>
                <w:sz w:val="24"/>
                <w:szCs w:val="24"/>
                <w:lang w:eastAsia="zh-CN"/>
              </w:rPr>
              <w:t>为</w:t>
            </w:r>
            <w:r>
              <w:rPr>
                <w:rFonts w:hint="eastAsia" w:ascii="Times New Roman" w:hAnsi="Times New Roman" w:cs="Times New Roman"/>
                <w:sz w:val="24"/>
                <w:szCs w:val="24"/>
                <w:lang w:val="en-US" w:eastAsia="zh-CN"/>
              </w:rPr>
              <w:t>初期雨水、检测废水</w:t>
            </w:r>
            <w:r>
              <w:rPr>
                <w:rFonts w:hint="default" w:ascii="Times New Roman" w:hAnsi="Times New Roman" w:eastAsia="宋体" w:cs="Times New Roman"/>
                <w:sz w:val="24"/>
                <w:szCs w:val="24"/>
                <w:lang w:eastAsia="zh-CN"/>
              </w:rPr>
              <w:t>和生活污水。</w:t>
            </w:r>
          </w:p>
          <w:p w14:paraId="6D7343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所有生产工序均在密闭车间内，初期雨水经收集沉淀后通过厂区雨水排口外排；检测废水经沉淀后用于洒水降尘；所有原料和产品均为袋装，地面比较干净，运输车辆较少，轮胎携带的粉尘较少，无需设置车辆清洗平台；生活污水经化粪池处理后定期清掏用于农田施肥</w:t>
            </w:r>
            <w:r>
              <w:rPr>
                <w:rFonts w:hint="eastAsia" w:ascii="Times New Roman" w:hAnsi="Times New Roman" w:cs="Times New Roman"/>
                <w:sz w:val="24"/>
                <w:szCs w:val="24"/>
                <w:vertAlign w:val="baseline"/>
                <w:lang w:val="en-US" w:eastAsia="zh-CN"/>
              </w:rPr>
              <w:t>。</w:t>
            </w:r>
          </w:p>
          <w:p w14:paraId="409365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2.废气</w:t>
            </w:r>
          </w:p>
          <w:p w14:paraId="631FA9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项目废气主要为装卸转运扬尘、堆场粉尘、投料粉尘、混合粉尘、检测粉尘和包装粉尘。</w:t>
            </w:r>
          </w:p>
          <w:p w14:paraId="2CA903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sz w:val="24"/>
                <w:szCs w:val="24"/>
                <w:lang w:eastAsia="zh-CN"/>
              </w:rPr>
            </w:pPr>
            <w:r>
              <w:rPr>
                <w:rFonts w:hint="eastAsia" w:ascii="Times New Roman" w:hAnsi="Times New Roman" w:cs="Times New Roman"/>
                <w:color w:val="000000"/>
                <w:sz w:val="24"/>
                <w:szCs w:val="24"/>
                <w:lang w:val="en-US" w:eastAsia="zh-CN"/>
              </w:rPr>
              <w:t>装卸转运扬尘、堆场粉尘采取洒水降尘措施；投料粉尘和混合粉尘经脉冲除尘器处理后由一根15m高排气筒（DA001）排放；检测粉尘和包装粉尘经车间自然沉降后无组织排放</w:t>
            </w:r>
            <w:r>
              <w:rPr>
                <w:rFonts w:hint="eastAsia" w:ascii="Times New Roman" w:hAnsi="Times New Roman" w:eastAsia="宋体" w:cs="Times New Roman"/>
                <w:b w:val="0"/>
                <w:bCs w:val="0"/>
                <w:color w:val="auto"/>
                <w:kern w:val="2"/>
                <w:sz w:val="24"/>
                <w:szCs w:val="24"/>
                <w:lang w:val="en-US" w:eastAsia="zh-CN" w:bidi="ar-SA"/>
              </w:rPr>
              <w:t>。</w:t>
            </w:r>
          </w:p>
          <w:p w14:paraId="39FF9F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 噪声</w:t>
            </w:r>
          </w:p>
          <w:p w14:paraId="6F04FC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rPr>
            </w:pPr>
            <w:r>
              <w:rPr>
                <w:rFonts w:hint="default" w:ascii="Times New Roman" w:hAnsi="Times New Roman" w:eastAsia="宋体" w:cs="Times New Roman"/>
                <w:sz w:val="24"/>
              </w:rPr>
              <w:t>项目噪声</w:t>
            </w:r>
            <w:r>
              <w:rPr>
                <w:rFonts w:hint="eastAsia" w:ascii="Times New Roman" w:hAnsi="Times New Roman" w:cs="Times New Roman"/>
                <w:sz w:val="24"/>
                <w:lang w:val="en-US" w:eastAsia="zh-CN"/>
              </w:rPr>
              <w:t>源</w:t>
            </w:r>
            <w:r>
              <w:rPr>
                <w:rFonts w:hint="default" w:ascii="Times New Roman" w:hAnsi="Times New Roman" w:eastAsia="宋体" w:cs="Times New Roman"/>
                <w:sz w:val="24"/>
              </w:rPr>
              <w:t>主要为卧式螺带混合机、空压机、风机及其他机械设备。</w:t>
            </w:r>
          </w:p>
          <w:p w14:paraId="0923F6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eastAsia" w:ascii="Times New Roman" w:hAnsi="Times New Roman" w:cs="Times New Roman"/>
                <w:sz w:val="24"/>
                <w:lang w:val="en-US" w:eastAsia="zh-CN"/>
              </w:rPr>
              <w:t>通过选用低噪设备，采取隔声、减振等降噪措施，降低对周边环境的影响</w:t>
            </w:r>
            <w:r>
              <w:rPr>
                <w:rFonts w:hint="default" w:ascii="Times New Roman" w:hAnsi="Times New Roman" w:eastAsia="宋体" w:cs="Times New Roman"/>
                <w:sz w:val="24"/>
                <w:szCs w:val="24"/>
              </w:rPr>
              <w:t>。</w:t>
            </w:r>
          </w:p>
          <w:p w14:paraId="57065F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 固废</w:t>
            </w:r>
          </w:p>
          <w:p w14:paraId="412FC6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项目固体废物包括</w:t>
            </w:r>
            <w:r>
              <w:rPr>
                <w:rFonts w:hint="default" w:ascii="Times New Roman" w:hAnsi="Times New Roman" w:eastAsia="宋体" w:cs="Times New Roman"/>
                <w:color w:val="auto"/>
                <w:sz w:val="24"/>
              </w:rPr>
              <w:t>废包装材料、除尘器收集尘、地面清扫收集尘、沉淀池污泥和生活垃圾</w:t>
            </w:r>
            <w:r>
              <w:rPr>
                <w:rFonts w:hint="eastAsia" w:ascii="Times New Roman" w:hAnsi="Times New Roman" w:cs="Times New Roman"/>
                <w:b w:val="0"/>
                <w:bCs w:val="0"/>
                <w:color w:val="000000"/>
                <w:sz w:val="24"/>
                <w:szCs w:val="24"/>
                <w:lang w:eastAsia="zh-CN"/>
              </w:rPr>
              <w:t>。</w:t>
            </w:r>
          </w:p>
          <w:p w14:paraId="056613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cs="Times New Roman"/>
                <w:sz w:val="24"/>
                <w:szCs w:val="24"/>
                <w:lang w:val="en-US" w:eastAsia="zh-CN"/>
              </w:rPr>
            </w:pPr>
            <w:r>
              <w:rPr>
                <w:rFonts w:hint="default" w:ascii="Times New Roman" w:hAnsi="Times New Roman" w:eastAsia="宋体" w:cs="Times New Roman"/>
                <w:color w:val="auto"/>
                <w:sz w:val="24"/>
              </w:rPr>
              <w:t>废包装材料收集后交原料厂家回收利用；除尘器收集尘、地面清扫收集尘回用于生产；沉淀池污泥和生活垃圾收集后由环卫部门统一清运处理</w:t>
            </w:r>
            <w:r>
              <w:rPr>
                <w:rFonts w:hint="eastAsia" w:ascii="Times New Roman" w:hAnsi="Times New Roman" w:cs="Times New Roman"/>
                <w:sz w:val="24"/>
                <w:szCs w:val="24"/>
                <w:lang w:val="en-US" w:eastAsia="zh-CN"/>
              </w:rPr>
              <w:t>。</w:t>
            </w:r>
          </w:p>
          <w:p w14:paraId="4BB920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lang w:val="en-US" w:eastAsia="zh-CN"/>
              </w:rPr>
            </w:pPr>
          </w:p>
          <w:p w14:paraId="279C1E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lang w:val="en-US" w:eastAsia="zh-CN"/>
              </w:rPr>
            </w:pPr>
          </w:p>
          <w:p w14:paraId="524B1F6B">
            <w:pPr>
              <w:pStyle w:val="9"/>
              <w:keepNext w:val="0"/>
              <w:keepLines w:val="0"/>
              <w:pageBreakBefore w:val="0"/>
              <w:widowControl w:val="0"/>
              <w:kinsoku/>
              <w:wordWrap/>
              <w:overflowPunct/>
              <w:topLinePunct w:val="0"/>
              <w:autoSpaceDE/>
              <w:autoSpaceDN/>
              <w:bidi w:val="0"/>
              <w:adjustRightInd w:val="0"/>
              <w:snapToGrid w:val="0"/>
              <w:spacing w:line="360" w:lineRule="auto"/>
              <w:textAlignment w:val="auto"/>
            </w:pPr>
          </w:p>
          <w:p w14:paraId="37D9D9DC">
            <w:pPr>
              <w:pStyle w:val="9"/>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eastAsia="宋体"/>
                <w:lang w:eastAsia="zh-CN"/>
              </w:rPr>
            </w:pPr>
          </w:p>
          <w:p w14:paraId="2679CAFC">
            <w:pPr>
              <w:pStyle w:val="9"/>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eastAsia="宋体"/>
                <w:lang w:val="en-US" w:eastAsia="zh-CN"/>
              </w:rPr>
            </w:pPr>
          </w:p>
        </w:tc>
      </w:tr>
    </w:tbl>
    <w:p w14:paraId="247DE637">
      <w:pPr>
        <w:pStyle w:val="2"/>
        <w:rPr>
          <w:rFonts w:hint="eastAsia"/>
          <w:sz w:val="28"/>
          <w:szCs w:val="28"/>
          <w:lang w:val="en-US" w:eastAsia="zh-CN"/>
        </w:rPr>
      </w:pPr>
      <w:bookmarkStart w:id="18" w:name="_Toc24466"/>
      <w:bookmarkStart w:id="19" w:name="_Toc18133"/>
      <w:bookmarkStart w:id="20" w:name="_Toc12191"/>
      <w:bookmarkStart w:id="21" w:name="_Toc29699"/>
      <w:r>
        <w:rPr>
          <w:sz w:val="28"/>
          <w:szCs w:val="28"/>
          <w:lang w:val="en-US" w:eastAsia="zh-CN"/>
        </w:rPr>
        <w:t>表</w:t>
      </w:r>
      <w:r>
        <w:rPr>
          <w:rFonts w:hint="eastAsia"/>
          <w:sz w:val="28"/>
          <w:szCs w:val="28"/>
          <w:lang w:val="en-US" w:eastAsia="zh-CN"/>
        </w:rPr>
        <w:t>四 建设项目环境影响报告表主要结论及审批部门审批决定</w:t>
      </w:r>
      <w:bookmarkEnd w:id="18"/>
      <w:bookmarkEnd w:id="19"/>
      <w:bookmarkEnd w:id="20"/>
      <w:bookmarkEnd w:id="21"/>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3A1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9" w:hRule="atLeast"/>
          <w:jc w:val="center"/>
        </w:trPr>
        <w:tc>
          <w:tcPr>
            <w:tcW w:w="8522" w:type="dxa"/>
            <w:noWrap w:val="0"/>
            <w:vAlign w:val="top"/>
          </w:tcPr>
          <w:p w14:paraId="6B23561F">
            <w:pPr>
              <w:keepNext w:val="0"/>
              <w:keepLines w:val="0"/>
              <w:pageBreakBefore w:val="0"/>
              <w:widowControl w:val="0"/>
              <w:kinsoku/>
              <w:wordWrap/>
              <w:overflowPunct/>
              <w:topLinePunct w:val="0"/>
              <w:autoSpaceDE/>
              <w:autoSpaceDN/>
              <w:bidi w:val="0"/>
              <w:spacing w:line="360" w:lineRule="auto"/>
              <w:jc w:val="left"/>
              <w:textAlignment w:val="auto"/>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环境影响报告表主要结论</w:t>
            </w:r>
          </w:p>
          <w:p w14:paraId="06285F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zh-CN" w:eastAsia="zh-CN"/>
              </w:rPr>
            </w:pPr>
            <w:r>
              <w:rPr>
                <w:rFonts w:hint="eastAsia" w:ascii="Times New Roman" w:hAnsi="Times New Roman" w:cs="Times New Roman"/>
                <w:color w:val="000000"/>
                <w:sz w:val="24"/>
                <w:lang w:val="en-US" w:eastAsia="zh-CN"/>
              </w:rPr>
              <w:t>通过对项目的工程分析、环境影响分析以及环保措施分析后认为，项目运营过程中产生的废气、废水、噪声、固体废物将会给环境带来一些不利影响，在通过加强管理及采取相应的环境保护措施后可以有效地消除或减缓项目建设带来的不利影响，项目建设的环境影响在可接受范围之内。本环评认为在营运期加强环境管理，各种污染物采取各项治理措施后，对周围环境影响较小。环保角度出发，本项目的实施是可行的</w:t>
            </w:r>
            <w:r>
              <w:rPr>
                <w:rFonts w:hint="default" w:ascii="Times New Roman" w:hAnsi="Times New Roman" w:cs="Times New Roman"/>
                <w:color w:val="000000"/>
                <w:sz w:val="24"/>
                <w:szCs w:val="24"/>
              </w:rPr>
              <w:t>。</w:t>
            </w:r>
          </w:p>
          <w:p w14:paraId="43750EF0">
            <w:pPr>
              <w:pStyle w:val="9"/>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sz w:val="24"/>
                <w:szCs w:val="24"/>
                <w:lang w:val="en-US" w:eastAsia="zh-CN"/>
              </w:rPr>
            </w:pPr>
            <w:r>
              <w:rPr>
                <w:rFonts w:hint="eastAsia" w:ascii="Times New Roman" w:hAnsi="Times New Roman" w:cs="Times New Roman"/>
                <w:b/>
                <w:bCs/>
                <w:sz w:val="24"/>
                <w:szCs w:val="24"/>
                <w:lang w:val="en-US" w:eastAsia="zh-CN"/>
              </w:rPr>
              <w:t>审批部门</w:t>
            </w:r>
            <w:r>
              <w:rPr>
                <w:rFonts w:hint="default" w:ascii="Times New Roman" w:hAnsi="Times New Roman" w:eastAsia="宋体" w:cs="Times New Roman"/>
                <w:b/>
                <w:bCs/>
                <w:sz w:val="24"/>
                <w:szCs w:val="24"/>
                <w:lang w:val="en-US" w:eastAsia="zh-CN"/>
              </w:rPr>
              <w:t>批复意见</w:t>
            </w:r>
          </w:p>
          <w:p w14:paraId="7E7DEF4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000000"/>
                <w:sz w:val="24"/>
                <w:szCs w:val="24"/>
                <w:lang w:eastAsia="zh-CN"/>
              </w:rPr>
            </w:pPr>
            <w:r>
              <w:rPr>
                <w:rFonts w:hint="eastAsia" w:ascii="Times New Roman" w:hAnsi="Times New Roman" w:cs="Times New Roman"/>
                <w:b/>
                <w:bCs/>
                <w:color w:val="000000"/>
                <w:sz w:val="24"/>
                <w:szCs w:val="24"/>
                <w:lang w:eastAsia="zh-CN"/>
              </w:rPr>
              <w:t>一、项目批复意见</w:t>
            </w:r>
          </w:p>
          <w:p w14:paraId="197836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（一）项目基本情况。新建项目，位于江西省宜春市高安市独城镇独新路以北（江西省瑞丰制泵有限公司内）（中心地理坐标：东经</w:t>
            </w:r>
            <w:r>
              <w:rPr>
                <w:rFonts w:hint="eastAsia" w:ascii="Times New Roman" w:hAnsi="Times New Roman" w:cs="Times New Roman"/>
                <w:sz w:val="24"/>
                <w:szCs w:val="24"/>
                <w:lang w:val="en-US" w:eastAsia="zh-CN"/>
              </w:rPr>
              <w:t>115°28′54.261</w:t>
            </w:r>
            <w:r>
              <w:rPr>
                <w:rFonts w:hint="eastAsia" w:ascii="Times New Roman" w:hAnsi="Times New Roman" w:cs="Times New Roman"/>
                <w:b w:val="0"/>
                <w:bCs w:val="0"/>
                <w:color w:val="000000"/>
                <w:sz w:val="24"/>
                <w:szCs w:val="24"/>
                <w:lang w:eastAsia="zh-CN"/>
              </w:rPr>
              <w:t>"，北纬</w:t>
            </w:r>
            <w:r>
              <w:rPr>
                <w:rFonts w:hint="eastAsia" w:ascii="Times New Roman" w:hAnsi="Times New Roman" w:cs="Times New Roman"/>
                <w:sz w:val="24"/>
                <w:szCs w:val="24"/>
                <w:lang w:val="en-US" w:eastAsia="zh-CN"/>
              </w:rPr>
              <w:t>28°13′49.903</w:t>
            </w:r>
            <w:r>
              <w:rPr>
                <w:rFonts w:hint="eastAsia" w:ascii="Times New Roman" w:hAnsi="Times New Roman" w:cs="Times New Roman"/>
                <w:b w:val="0"/>
                <w:bCs w:val="0"/>
                <w:color w:val="000000"/>
                <w:sz w:val="24"/>
                <w:szCs w:val="24"/>
                <w:lang w:eastAsia="zh-CN"/>
              </w:rPr>
              <w:t>"），项目已经高安市发展和改革委员会同意（2406-360983-04-01-752983），符合产业政策。项目租赁江西省瑞丰制泵有限公司原成品仓库（建筑面积3800平方米）进行建设，项目四至：项目东面为江西省瑞丰制泵有限公司，南面隔S309省道为通达陶瓷原料厂，西面为陶艺腰线厂，北面为江西省瑞丰制泵有限公司成品仓库。总占地面积3800m2。</w:t>
            </w:r>
          </w:p>
          <w:p w14:paraId="34759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主要建设内容：主体工程（包括生产区）、储运工程（包括原料区1、原料区2、成品区、仓库－业主方）、辅助工程（包括办公区）等依托江西省瑞丰制泵有限公司现有生产车间进行改造，新建给排水供电工程、废水废气噪声固废治理设施，项目利用钠长石、钾长石、石英、高岭土、白云石、硅灰石、氧化铝、烧土、烧滑石、方解石、碳酸钡、霞石等为原辅料，经投料、混合搅拌、检测、包装出厂等工序达到年产陶瓷原料6万吨的生产规模。</w:t>
            </w:r>
          </w:p>
          <w:p w14:paraId="09C232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项目总投资1500万元，其中环保投资30万元，占总投资2%。</w:t>
            </w:r>
          </w:p>
          <w:p w14:paraId="45BEDF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二）批复意见。你公司应全面落实环境影响报告表提出的各项污染防治措施和风险防范措施，缓解和控制环境不利影响。我局原则同意你公司按报告表中所列工程性质、规模、地点、环境保护对策措施等要求进行该项目建设。</w:t>
            </w:r>
          </w:p>
          <w:p w14:paraId="6F4AC29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000000"/>
                <w:sz w:val="24"/>
                <w:szCs w:val="24"/>
                <w:lang w:eastAsia="zh-CN"/>
              </w:rPr>
            </w:pPr>
            <w:r>
              <w:rPr>
                <w:rFonts w:hint="eastAsia" w:ascii="Times New Roman" w:hAnsi="Times New Roman" w:cs="Times New Roman"/>
                <w:b/>
                <w:bCs/>
                <w:color w:val="000000"/>
                <w:sz w:val="24"/>
                <w:szCs w:val="24"/>
                <w:lang w:eastAsia="zh-CN"/>
              </w:rPr>
              <w:t>二、项目建设与运行管理中应重点做好以下工作</w:t>
            </w:r>
          </w:p>
          <w:p w14:paraId="5572DD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项目在工程设计、建设和生产过程中必须认真落实《报告表》提出的各项环保要求，并重点做好以下几项工作：</w:t>
            </w:r>
          </w:p>
          <w:p w14:paraId="4B5D32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一）在设计、建设和运行中。按照“环保优先、绿色发展”目标和循环经济、清洁生产的理念，采用国内外成熟可靠、技术先进、环境友好的工艺技术方案，选用优质装备和原材料，强化各装置节能降耗措施，减少污染物的产生量和排放量。</w:t>
            </w:r>
          </w:p>
          <w:p w14:paraId="18205A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（二）废水污染防治要求。按照“清污分流、雨污分流、分质处理、一水多用”原则，合理制定废水收集处理方案和综合利用方案。项目初期雨水经初期雨水收集池（60m</w:t>
            </w:r>
            <w:r>
              <w:rPr>
                <w:rFonts w:hint="eastAsia" w:ascii="Times New Roman" w:hAnsi="Times New Roman" w:cs="Times New Roman"/>
                <w:b w:val="0"/>
                <w:bCs w:val="0"/>
                <w:color w:val="000000"/>
                <w:sz w:val="24"/>
                <w:szCs w:val="24"/>
                <w:vertAlign w:val="superscript"/>
                <w:lang w:eastAsia="zh-CN"/>
              </w:rPr>
              <w:t>3</w:t>
            </w:r>
            <w:r>
              <w:rPr>
                <w:rFonts w:hint="eastAsia" w:ascii="Times New Roman" w:hAnsi="Times New Roman" w:cs="Times New Roman"/>
                <w:b w:val="0"/>
                <w:bCs w:val="0"/>
                <w:color w:val="000000"/>
                <w:sz w:val="24"/>
                <w:szCs w:val="24"/>
                <w:lang w:eastAsia="zh-CN"/>
              </w:rPr>
              <w:t>）沉淀后用于洒水降尘；项目检测废水经三级沉淀池处理后用于洒水降尘；车辆清洗废水经车辆清洗废水沉淀池处理后循环使用；生活污水经化粪池处理后定期清掏用于农田施肥。</w:t>
            </w:r>
          </w:p>
          <w:p w14:paraId="0D630B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三）废气污染防治要求。应采取清洁生产措施减少废气产生量。根据废气中污染物的类别和性质，采用成熟可行工艺处理确保废气污染物长期稳定达标排放。运营期项目装卸转运扬尘自然沉降后无组织排放，建议采取洒水降尘措施；堆场粉尘自然沉降后无组织排放，建议采取洒水降尘措施；DA001-（投料粉尘和混合粉尘）经收集+脉冲除尘器处理后由一根15m高排气筒（DA001）外排；检测粉尘和包装粉尘经车间自然沉降后无组织排放。</w:t>
            </w:r>
          </w:p>
          <w:p w14:paraId="4A48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项目运营期颗粒物排放执行《大气污染物综合排放标准》（GB 16297-1996）表2二级标准及无组织排放监控浓度限值。</w:t>
            </w:r>
          </w:p>
          <w:p w14:paraId="2770C1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四）环境噪声污染防治要求。运营期噪声源包括卧式螺带混合机、空压机、风机及其他机械设备等。选用低噪设备，合理平面布局加强车间密闭性，采取隔声、减振等降噪措施，定期对隔声罩、减震装置等降噪设施进行检查和维护，维持设备处于良好的运转状态，经厂房、围墙隔音及距离衰减等措施后，厂界噪声应满足《工业企业厂界环境噪声排放标准》（GB12348-2008）中的2类标准。</w:t>
            </w:r>
          </w:p>
          <w:p w14:paraId="754B46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五）固体废物污染防治要求。应按“资源化、减量化、无害化”处置原则，认真落实各类固体废物收集、处置和综合利用措施。项目产生固体废物主要为一般工业固体废物，包括废包装材料、除尘器收集尘、地面清扫收集尘、沉淀池污泥和生活垃圾等。项目产生的工业固废应当合法利用或处置。</w:t>
            </w:r>
          </w:p>
          <w:p w14:paraId="564F9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应在厂区设置足够容量的一般工业固废暂存间。项目一般工业固体废物贮存过程应满足相应防渗漏、防雨淋、防扬尘等环境保护要求。</w:t>
            </w:r>
          </w:p>
          <w:p w14:paraId="382E5A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六）土壤和地下水污染防治要求。按照“源头防控、分区防治、污染监控、应急响应”的原则进行土壤和地下水污染防治。严格按照报告表有关要求采取分区防渗措施，管线敷设尽量“可视化”。加强防渗设施的日常维护，对出现损害的防渗设施应及时修复和加固，确保防渗设施牢固安全。一旦发现泄漏，应立即采取补救措施，防止污染土壤和地下水。</w:t>
            </w:r>
          </w:p>
          <w:p w14:paraId="3BC0EA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（七）排污口规范化要求。按国家有关规定设置规范的污染物排放口，并设置标识牌。</w:t>
            </w:r>
          </w:p>
          <w:p w14:paraId="08500B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八）卫生防护距离。根据报告表确定本项目的卫生防护距离为生产车间外延200m。你公司应配合政府和规划部门，严格控制好本项目周边规划，项目卫生防护距离范围内不得新建居民住宅、学校及医院等环境敏感建筑。</w:t>
            </w:r>
          </w:p>
          <w:p w14:paraId="2CA618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（九）污染物总量控制要求。本项目主要污染物排放总量必须满足我局下达的总量控制指标要求。</w:t>
            </w:r>
          </w:p>
          <w:p w14:paraId="49BB7D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十）环境风险防范措施。严格落实报告表提出的各项环境风险防控措施。健全企业环境风险防范与应急管理体系制定全厂环境风险防控措施和突发环境事件应急预案。突发环境事件应急预案应与相邻企业、当地政府进行有效衔接，定期协同有关部门开展应急演练。项目配套的环保设备设施应落实安全生产要求，依法依规履行安全生产相关手续，报经相关职能部门审批同意后方可实施，有效防范因污染物事故排放或安全生产事故可能引发的环境风险，确保周边环境安全。</w:t>
            </w:r>
          </w:p>
          <w:p w14:paraId="35B1BB6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000000"/>
                <w:sz w:val="24"/>
                <w:szCs w:val="24"/>
                <w:lang w:eastAsia="zh-CN"/>
              </w:rPr>
            </w:pPr>
            <w:r>
              <w:rPr>
                <w:rFonts w:hint="eastAsia" w:ascii="Times New Roman" w:hAnsi="Times New Roman" w:cs="Times New Roman"/>
                <w:b/>
                <w:bCs/>
                <w:color w:val="000000"/>
                <w:sz w:val="24"/>
                <w:szCs w:val="24"/>
                <w:lang w:eastAsia="zh-CN"/>
              </w:rPr>
              <w:t>三、项目运行和竣工验收的环保要求</w:t>
            </w:r>
          </w:p>
          <w:p w14:paraId="09DF6F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本项目建设必须严格执行环境保护设施与主体工程同时设计、同时施工、同时投入使用的环境保护“三同时”制度。建设项目竣工后，你公司须按照国家排污许可证管理的有关要求履行排污许可相关手续后方可进行调试，同时按照《建设项目竣工环境保护验收暂行办法》履行竣工环境保护验收，经验收合格后方可投入正式生产。</w:t>
            </w:r>
          </w:p>
          <w:p w14:paraId="5CC291D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000000"/>
                <w:sz w:val="24"/>
                <w:szCs w:val="24"/>
                <w:lang w:eastAsia="zh-CN"/>
              </w:rPr>
            </w:pPr>
            <w:r>
              <w:rPr>
                <w:rFonts w:hint="eastAsia" w:ascii="Times New Roman" w:hAnsi="Times New Roman" w:cs="Times New Roman"/>
                <w:b/>
                <w:bCs/>
                <w:color w:val="000000"/>
                <w:sz w:val="24"/>
                <w:szCs w:val="24"/>
                <w:lang w:eastAsia="zh-CN"/>
              </w:rPr>
              <w:t>四、其他环保要求</w:t>
            </w:r>
          </w:p>
          <w:p w14:paraId="031F5A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sz w:val="24"/>
                <w:szCs w:val="24"/>
                <w:lang w:eastAsia="zh-CN"/>
              </w:rPr>
            </w:pPr>
            <w:r>
              <w:rPr>
                <w:rFonts w:hint="eastAsia" w:ascii="Times New Roman" w:hAnsi="Times New Roman" w:cs="Times New Roman"/>
                <w:b w:val="0"/>
                <w:bCs w:val="0"/>
                <w:color w:val="000000"/>
                <w:sz w:val="24"/>
                <w:szCs w:val="24"/>
                <w:lang w:eastAsia="zh-CN"/>
              </w:rPr>
              <w:t>（一）项目变更环保要求。本批复仅限按报告表的建设内容，若项目建设性质、规模、地点、内容、采用的生产工艺或者防治污染的措施等发生重大变化或审批后超过五年方动工建设的，应按照法律法规要求，重新申请办理环评审批手续。</w:t>
            </w:r>
          </w:p>
          <w:p w14:paraId="276EB4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b w:val="0"/>
                <w:bCs w:val="0"/>
                <w:color w:val="000000"/>
                <w:sz w:val="24"/>
                <w:szCs w:val="24"/>
                <w:lang w:eastAsia="zh-CN"/>
              </w:rPr>
              <w:t>（二）日常环保监管。请宜春市高安生态环境保护综合执法大队负责该项目建设和运行的监管以及企业环保“三同时”的检查。你公司应按规定接受各级生态环境行政主管部门的监督检查。</w:t>
            </w:r>
          </w:p>
        </w:tc>
      </w:tr>
    </w:tbl>
    <w:p w14:paraId="1979BC6A">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color w:val="000000" w:themeColor="text1"/>
          <w:sz w:val="28"/>
          <w:szCs w:val="28"/>
          <w:lang w:val="en-US" w:eastAsia="zh-CN"/>
          <w14:textFill>
            <w14:solidFill>
              <w14:schemeClr w14:val="tx1"/>
            </w14:solidFill>
          </w14:textFill>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22" w:name="_Toc25482"/>
    </w:p>
    <w:p w14:paraId="65B003EA">
      <w:pPr>
        <w:pStyle w:val="2"/>
        <w:rPr>
          <w:rFonts w:hint="eastAsia"/>
          <w:sz w:val="28"/>
          <w:szCs w:val="28"/>
          <w:lang w:val="en-US" w:eastAsia="zh-CN"/>
        </w:rPr>
      </w:pPr>
      <w:bookmarkStart w:id="23" w:name="_Toc30973"/>
      <w:bookmarkStart w:id="24" w:name="_Toc29284"/>
      <w:bookmarkStart w:id="25" w:name="_Toc15488"/>
      <w:bookmarkStart w:id="26" w:name="_Toc26021"/>
      <w:r>
        <w:rPr>
          <w:sz w:val="28"/>
          <w:szCs w:val="28"/>
          <w:lang w:val="en-US" w:eastAsia="zh-CN"/>
        </w:rPr>
        <w:t>表</w:t>
      </w:r>
      <w:r>
        <w:rPr>
          <w:rFonts w:hint="eastAsia"/>
          <w:sz w:val="28"/>
          <w:szCs w:val="28"/>
          <w:lang w:val="en-US" w:eastAsia="zh-CN"/>
        </w:rPr>
        <w:t>五 验收监测质量保证及质量控制</w:t>
      </w:r>
      <w:bookmarkEnd w:id="23"/>
      <w:bookmarkEnd w:id="24"/>
      <w:bookmarkEnd w:id="25"/>
      <w:bookmarkEnd w:id="26"/>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AEA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14:paraId="5EEB05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人员资质</w:t>
            </w:r>
          </w:p>
          <w:p w14:paraId="04C8E3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承担监测任务的</w:t>
            </w: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eastAsia="zh-CN"/>
              </w:rPr>
              <w:t>江西致远环保股份有限公司</w:t>
            </w:r>
            <w:r>
              <w:rPr>
                <w:rFonts w:hint="default" w:ascii="Times New Roman" w:hAnsi="Times New Roman" w:eastAsia="宋体" w:cs="Times New Roman"/>
                <w:color w:val="auto"/>
                <w:sz w:val="24"/>
                <w:szCs w:val="24"/>
              </w:rPr>
              <w:t>已通过</w:t>
            </w:r>
            <w:r>
              <w:rPr>
                <w:rFonts w:hint="eastAsia" w:ascii="Times New Roman" w:hAnsi="Times New Roman" w:cs="Times New Roman"/>
                <w:color w:val="auto"/>
                <w:sz w:val="24"/>
                <w:szCs w:val="24"/>
                <w:lang w:eastAsia="zh-CN"/>
              </w:rPr>
              <w:t>江西省市场监督管理局</w:t>
            </w:r>
            <w:r>
              <w:rPr>
                <w:rFonts w:hint="default" w:ascii="Times New Roman" w:hAnsi="Times New Roman" w:eastAsia="宋体" w:cs="Times New Roman"/>
                <w:color w:val="auto"/>
                <w:sz w:val="24"/>
                <w:szCs w:val="24"/>
              </w:rPr>
              <w:t>资质认定，监测人员已持证上岗。</w:t>
            </w:r>
          </w:p>
          <w:p w14:paraId="766B71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设备：监测过程中使用的仪器设备符合国家有关标准和技术要求。《中华人民共和国强制检定的工作计量器具明细目录》里的仪器设备，经计量检定合格并在有效期内；不属于《中华人民共和国强制检定的工作计量器具明细目录》里的仪器设备，校准合格并在有效期内使用。</w:t>
            </w:r>
          </w:p>
          <w:p w14:paraId="603A6A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rPr>
              <w:t>监测时的工况调查：监测在企业生产设备处于正常运行状态下进行，核查工况，在建设项目竣工环境保护验收技术规范要求负荷下采样，详见附件。</w:t>
            </w:r>
            <w:bookmarkStart w:id="27" w:name="_Toc201302230"/>
          </w:p>
          <w:bookmarkEnd w:id="27"/>
          <w:p w14:paraId="48240A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水质监测分析过程中的质量保证和质量控制</w:t>
            </w:r>
          </w:p>
          <w:p w14:paraId="337E17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采样：采样点位选取考虑合适性和代表性，采样严格按技术规范要求进行。废气采样时保证采样系统的密封性，测试前气密性检查、校零校标，并提供校准校标记录作为附件；废气采样采集平行样。样品的保存及运输：样品采集后加保存剂保存并在保存期内测定。实验室分析：实验室具有良好的实验室条件，实验室用水、使用试剂、器皿等符合实验检测要求。</w:t>
            </w:r>
          </w:p>
          <w:p w14:paraId="54AF4B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lang w:val="en-US" w:eastAsia="zh-CN"/>
              </w:rPr>
            </w:pPr>
            <w:r>
              <w:rPr>
                <w:rFonts w:hint="default" w:ascii="Times New Roman" w:hAnsi="Times New Roman" w:cs="Times New Roman" w:eastAsiaTheme="minorEastAsia"/>
                <w:sz w:val="24"/>
                <w:szCs w:val="24"/>
              </w:rPr>
              <w:t>有证环境标准样品的带有证环境标准样品进行分析，无有证标准物质或有证环境标准样品时，用加标回收实验来检查测定准确度。</w:t>
            </w:r>
          </w:p>
          <w:p w14:paraId="396CDC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5.</w:t>
            </w:r>
            <w:r>
              <w:rPr>
                <w:rFonts w:hint="default" w:ascii="Times New Roman" w:hAnsi="Times New Roman" w:eastAsia="宋体" w:cs="Times New Roman"/>
                <w:color w:val="auto"/>
                <w:sz w:val="24"/>
                <w:szCs w:val="24"/>
              </w:rPr>
              <w:t>气体监测分析过程中的质量保证和质量控制</w:t>
            </w:r>
          </w:p>
          <w:p w14:paraId="6B164D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尽量避免被测排放物中共存污染物对分析的交叉干扰。</w:t>
            </w:r>
          </w:p>
          <w:p w14:paraId="2D7075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被测排放物的浓度在仪器量程的有效范围（即30%～70%之间）。</w:t>
            </w:r>
          </w:p>
          <w:p w14:paraId="6773BD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烟尘采样器在进入现场前应对采样器流量计、流速计等进行校核。烟气监测（分析）仪器在测试前按监测因子分别用标准气体和流量计对其进行校核（标定），在测试时应保证其采样流量的准确。</w:t>
            </w:r>
          </w:p>
          <w:p w14:paraId="080D1C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bookmarkStart w:id="28" w:name="_Toc201302231"/>
            <w:r>
              <w:rPr>
                <w:rFonts w:hint="eastAsia"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rPr>
              <w:t>噪声监测分析过程中的质量保证和质量控制</w:t>
            </w:r>
            <w:bookmarkEnd w:id="28"/>
          </w:p>
          <w:p w14:paraId="43ED97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噪声采样记录上反映监测时的风速，监测时加</w:t>
            </w:r>
            <w:r>
              <w:rPr>
                <w:rFonts w:hint="eastAsia" w:ascii="Times New Roman" w:hAnsi="Times New Roman" w:cs="Times New Roman"/>
                <w:color w:val="auto"/>
                <w:sz w:val="24"/>
                <w:szCs w:val="24"/>
                <w:lang w:eastAsia="zh-CN"/>
              </w:rPr>
              <w:t>戴</w:t>
            </w:r>
            <w:r>
              <w:rPr>
                <w:rFonts w:hint="default" w:ascii="Times New Roman" w:hAnsi="Times New Roman" w:eastAsia="宋体" w:cs="Times New Roman"/>
                <w:color w:val="auto"/>
                <w:sz w:val="24"/>
                <w:szCs w:val="24"/>
              </w:rPr>
              <w:t>风罩，监测前后用标准声源对仪器进行校准，校准结果不超过0.5dB数据方认为有效。</w:t>
            </w:r>
          </w:p>
          <w:p w14:paraId="0F52BD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采样记录、分析结果、监测方案及报告严格执行三级审核制度。</w:t>
            </w:r>
          </w:p>
          <w:p w14:paraId="7504BA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p>
          <w:p w14:paraId="688A84CA">
            <w:pPr>
              <w:pStyle w:val="46"/>
              <w:keepNext w:val="0"/>
              <w:keepLines w:val="0"/>
              <w:pageBreakBefore w:val="0"/>
              <w:widowControl w:val="0"/>
              <w:kinsoku/>
              <w:wordWrap/>
              <w:overflowPunct/>
              <w:topLinePunct w:val="0"/>
              <w:autoSpaceDE/>
              <w:autoSpaceDN/>
              <w:bidi w:val="0"/>
              <w:adjustRightInd w:val="0"/>
              <w:snapToGrid w:val="0"/>
              <w:spacing w:before="62" w:beforeLines="20" w:line="360" w:lineRule="auto"/>
              <w:ind w:left="0" w:leftChars="0" w:firstLine="0" w:firstLineChars="0"/>
              <w:textAlignment w:val="auto"/>
              <w:rPr>
                <w:rFonts w:hint="default" w:ascii="Times New Roman" w:hAnsi="Times New Roman" w:eastAsia="宋体" w:cs="Times New Roman"/>
                <w:color w:val="000000"/>
                <w:sz w:val="24"/>
                <w:szCs w:val="24"/>
              </w:rPr>
            </w:pPr>
          </w:p>
        </w:tc>
      </w:tr>
    </w:tbl>
    <w:p w14:paraId="7D93FE63">
      <w:pPr>
        <w:rPr>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1FDFF28B">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rFonts w:hint="eastAsia"/>
          <w:color w:val="000000" w:themeColor="text1"/>
          <w:sz w:val="28"/>
          <w:szCs w:val="28"/>
          <w:lang w:val="en-US" w:eastAsia="zh-CN"/>
          <w14:textFill>
            <w14:solidFill>
              <w14:schemeClr w14:val="tx1"/>
            </w14:solidFill>
          </w14:textFill>
        </w:rPr>
      </w:pPr>
      <w:bookmarkStart w:id="29" w:name="_Toc7624"/>
      <w:bookmarkStart w:id="30" w:name="_Toc30331"/>
      <w:bookmarkStart w:id="31" w:name="_Toc22112"/>
      <w:bookmarkStart w:id="32" w:name="_Toc1909"/>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六 验收监测内容</w:t>
      </w:r>
      <w:bookmarkEnd w:id="29"/>
      <w:bookmarkEnd w:id="30"/>
      <w:bookmarkEnd w:id="31"/>
      <w:bookmarkEnd w:id="32"/>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FF7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9" w:hRule="atLeast"/>
          <w:jc w:val="center"/>
        </w:trPr>
        <w:tc>
          <w:tcPr>
            <w:tcW w:w="8522" w:type="dxa"/>
            <w:noWrap w:val="0"/>
            <w:vAlign w:val="top"/>
          </w:tcPr>
          <w:p w14:paraId="1F0016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eastAsia="zh-CN"/>
              </w:rPr>
              <w:t>江西致远环保股份有限公司于</w:t>
            </w:r>
            <w:r>
              <w:rPr>
                <w:rFonts w:hint="eastAsia" w:ascii="Times New Roman" w:hAnsi="Times New Roman" w:cs="Times New Roman"/>
                <w:color w:val="000000" w:themeColor="text1"/>
                <w:sz w:val="24"/>
                <w:szCs w:val="24"/>
                <w:lang w:val="en-US" w:eastAsia="zh-CN"/>
                <w14:textFill>
                  <w14:solidFill>
                    <w14:schemeClr w14:val="tx1"/>
                  </w14:solidFill>
                </w14:textFill>
              </w:rPr>
              <w:t>2026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6月17日</w:t>
            </w:r>
            <w:r>
              <w:rPr>
                <w:rFonts w:hint="default" w:ascii="Times New Roman" w:hAnsi="Times New Roman" w:eastAsia="宋体" w:cs="Times New Roman"/>
                <w:sz w:val="24"/>
                <w:szCs w:val="24"/>
              </w:rPr>
              <w:t>对</w:t>
            </w:r>
            <w:r>
              <w:rPr>
                <w:rFonts w:hint="eastAsia" w:ascii="Times New Roman" w:hAnsi="Times New Roman" w:cs="Times New Roman"/>
                <w:sz w:val="24"/>
                <w:szCs w:val="24"/>
                <w:lang w:eastAsia="zh-CN"/>
              </w:rPr>
              <w:t>佛山康立泰数码科技有限公司江西分公司年产6万吨陶瓷原料生产建设项目</w:t>
            </w:r>
            <w:r>
              <w:rPr>
                <w:rFonts w:hint="default" w:ascii="Times New Roman" w:hAnsi="Times New Roman" w:eastAsia="宋体" w:cs="Times New Roman"/>
                <w:sz w:val="24"/>
                <w:szCs w:val="24"/>
              </w:rPr>
              <w:t>进行了现场踏勘，并</w:t>
            </w:r>
            <w:r>
              <w:rPr>
                <w:rFonts w:hint="eastAsia" w:ascii="Times New Roman" w:hAnsi="Times New Roman" w:cs="Times New Roman"/>
                <w:sz w:val="24"/>
                <w:szCs w:val="24"/>
                <w:lang w:val="en-US" w:eastAsia="zh-CN"/>
              </w:rPr>
              <w:t>收集环保设施销售、安装及调试单位（佛山市锐捷科技有限公司）布袋除尘器调试及效果说明（见附件5）：经佛山市锐捷科技有限公司现场调试及试运行验证，设备对工艺产生的颗粒物粉尘处理效率稳定达到99%以上。布袋除尘器安装规范、调试合格、运行稳定、粉尘处理效率达标，完全符合设计标准及环保验收要求，具备长期连续投运条件。</w:t>
            </w:r>
          </w:p>
          <w:p w14:paraId="4FC85C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根据上述分析制定了验收监测方案</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监测方案详见下表：</w:t>
            </w:r>
          </w:p>
          <w:p w14:paraId="50FC6F94">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b/>
                <w:bCs/>
                <w:color w:val="auto"/>
              </w:rPr>
            </w:pPr>
            <w:r>
              <w:rPr>
                <w:b/>
                <w:bCs/>
                <w:color w:val="auto"/>
              </w:rPr>
              <w:t>表</w:t>
            </w:r>
            <w:r>
              <w:rPr>
                <w:rFonts w:hint="default" w:ascii="Times New Roman" w:hAnsi="Times New Roman" w:cs="Times New Roman"/>
                <w:b/>
                <w:bCs/>
                <w:color w:val="auto"/>
                <w:lang w:val="en-US" w:eastAsia="zh-CN"/>
              </w:rPr>
              <w:t>6-1</w:t>
            </w:r>
            <w:r>
              <w:rPr>
                <w:rFonts w:hint="eastAsia"/>
                <w:b/>
                <w:bCs/>
                <w:color w:val="auto"/>
                <w:lang w:eastAsia="zh-CN"/>
              </w:rPr>
              <w:t>建设项目</w:t>
            </w:r>
            <w:r>
              <w:rPr>
                <w:b/>
                <w:bCs/>
                <w:color w:val="auto"/>
              </w:rPr>
              <w:t>验收监测方案</w:t>
            </w:r>
          </w:p>
          <w:tbl>
            <w:tblPr>
              <w:tblStyle w:val="25"/>
              <w:tblW w:w="8296" w:type="dxa"/>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1533"/>
              <w:gridCol w:w="707"/>
              <w:gridCol w:w="1327"/>
              <w:gridCol w:w="1260"/>
              <w:gridCol w:w="2423"/>
            </w:tblGrid>
            <w:tr w14:paraId="10BD485D">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6" w:type="dxa"/>
                  <w:tcBorders>
                    <w:tl2br w:val="nil"/>
                    <w:tr2bl w:val="nil"/>
                  </w:tcBorders>
                  <w:noWrap w:val="0"/>
                  <w:vAlign w:val="center"/>
                </w:tcPr>
                <w:p w14:paraId="210D72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bCs/>
                    </w:rPr>
                  </w:pPr>
                  <w:r>
                    <w:rPr>
                      <w:rFonts w:hint="eastAsia"/>
                      <w:b/>
                      <w:bCs/>
                    </w:rPr>
                    <w:t>监测</w:t>
                  </w:r>
                </w:p>
                <w:p w14:paraId="117C98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类别</w:t>
                  </w:r>
                </w:p>
              </w:tc>
              <w:tc>
                <w:tcPr>
                  <w:tcW w:w="1533" w:type="dxa"/>
                  <w:tcBorders>
                    <w:tl2br w:val="nil"/>
                    <w:tr2bl w:val="nil"/>
                  </w:tcBorders>
                  <w:noWrap w:val="0"/>
                  <w:vAlign w:val="center"/>
                </w:tcPr>
                <w:p w14:paraId="0954E5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监测点位置</w:t>
                  </w:r>
                </w:p>
              </w:tc>
              <w:tc>
                <w:tcPr>
                  <w:tcW w:w="707" w:type="dxa"/>
                  <w:tcBorders>
                    <w:tl2br w:val="nil"/>
                    <w:tr2bl w:val="nil"/>
                  </w:tcBorders>
                  <w:noWrap w:val="0"/>
                  <w:vAlign w:val="center"/>
                </w:tcPr>
                <w:p w14:paraId="61BCBA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监测符号</w:t>
                  </w:r>
                </w:p>
              </w:tc>
              <w:tc>
                <w:tcPr>
                  <w:tcW w:w="1327" w:type="dxa"/>
                  <w:tcBorders>
                    <w:tl2br w:val="nil"/>
                    <w:tr2bl w:val="nil"/>
                  </w:tcBorders>
                  <w:noWrap w:val="0"/>
                  <w:vAlign w:val="center"/>
                </w:tcPr>
                <w:p w14:paraId="6765C2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监测项目</w:t>
                  </w:r>
                </w:p>
              </w:tc>
              <w:tc>
                <w:tcPr>
                  <w:tcW w:w="1260" w:type="dxa"/>
                  <w:tcBorders>
                    <w:tl2br w:val="nil"/>
                    <w:tr2bl w:val="nil"/>
                  </w:tcBorders>
                  <w:noWrap w:val="0"/>
                  <w:vAlign w:val="center"/>
                </w:tcPr>
                <w:p w14:paraId="032D07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监测周期、频率</w:t>
                  </w:r>
                </w:p>
              </w:tc>
              <w:tc>
                <w:tcPr>
                  <w:tcW w:w="2423" w:type="dxa"/>
                  <w:tcBorders>
                    <w:tl2br w:val="nil"/>
                    <w:tr2bl w:val="nil"/>
                  </w:tcBorders>
                  <w:noWrap w:val="0"/>
                  <w:vAlign w:val="center"/>
                </w:tcPr>
                <w:p w14:paraId="13EF54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执行标准</w:t>
                  </w:r>
                </w:p>
              </w:tc>
            </w:tr>
            <w:tr w14:paraId="65A121DC">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46" w:type="dxa"/>
                  <w:tcBorders>
                    <w:tl2br w:val="nil"/>
                    <w:tr2bl w:val="nil"/>
                  </w:tcBorders>
                  <w:noWrap w:val="0"/>
                  <w:vAlign w:val="center"/>
                </w:tcPr>
                <w:p w14:paraId="7BAC25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lang w:val="en-US" w:eastAsia="zh-CN"/>
                    </w:rPr>
                  </w:pPr>
                  <w:r>
                    <w:rPr>
                      <w:rFonts w:hint="eastAsia"/>
                      <w:lang w:val="en-US" w:eastAsia="zh-CN"/>
                    </w:rPr>
                    <w:t>有组织废气</w:t>
                  </w:r>
                </w:p>
              </w:tc>
              <w:tc>
                <w:tcPr>
                  <w:tcW w:w="1533" w:type="dxa"/>
                  <w:tcBorders>
                    <w:tl2br w:val="nil"/>
                    <w:tr2bl w:val="nil"/>
                  </w:tcBorders>
                  <w:noWrap w:val="0"/>
                  <w:vAlign w:val="center"/>
                </w:tcPr>
                <w:p w14:paraId="22A987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lang w:val="en-US" w:eastAsia="zh-CN"/>
                    </w:rPr>
                  </w:pPr>
                  <w:r>
                    <w:rPr>
                      <w:rFonts w:hint="eastAsia"/>
                      <w:lang w:val="en-US" w:eastAsia="zh-CN"/>
                    </w:rPr>
                    <w:t>投料、混合粉尘排口</w:t>
                  </w:r>
                </w:p>
              </w:tc>
              <w:tc>
                <w:tcPr>
                  <w:tcW w:w="707" w:type="dxa"/>
                  <w:tcBorders>
                    <w:tl2br w:val="nil"/>
                    <w:tr2bl w:val="nil"/>
                  </w:tcBorders>
                  <w:noWrap w:val="0"/>
                  <w:vAlign w:val="center"/>
                </w:tcPr>
                <w:p w14:paraId="413F94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lang w:val="en-US" w:eastAsia="zh-CN"/>
                    </w:rPr>
                  </w:pPr>
                  <w:r>
                    <w:rPr>
                      <w:rFonts w:hint="eastAsia" w:ascii="宋体" w:hAnsi="宋体" w:eastAsia="宋体" w:cs="宋体"/>
                      <w:lang w:val="en-US" w:eastAsia="zh-CN"/>
                    </w:rPr>
                    <w:t>◎</w:t>
                  </w:r>
                  <w:r>
                    <w:rPr>
                      <w:rFonts w:hint="eastAsia"/>
                      <w:lang w:val="en-US" w:eastAsia="zh-CN"/>
                    </w:rPr>
                    <w:t>1</w:t>
                  </w:r>
                </w:p>
              </w:tc>
              <w:tc>
                <w:tcPr>
                  <w:tcW w:w="1327" w:type="dxa"/>
                  <w:tcBorders>
                    <w:tl2br w:val="nil"/>
                    <w:tr2bl w:val="nil"/>
                  </w:tcBorders>
                  <w:noWrap w:val="0"/>
                  <w:vAlign w:val="center"/>
                </w:tcPr>
                <w:p w14:paraId="706062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lang w:val="en-US" w:eastAsia="zh-CN"/>
                    </w:rPr>
                  </w:pPr>
                  <w:r>
                    <w:rPr>
                      <w:rFonts w:hint="eastAsia"/>
                      <w:lang w:val="en-US" w:eastAsia="zh-CN"/>
                    </w:rPr>
                    <w:t>颗粒物</w:t>
                  </w:r>
                </w:p>
              </w:tc>
              <w:tc>
                <w:tcPr>
                  <w:tcW w:w="1260" w:type="dxa"/>
                  <w:tcBorders>
                    <w:tl2br w:val="nil"/>
                    <w:tr2bl w:val="nil"/>
                  </w:tcBorders>
                  <w:noWrap w:val="0"/>
                  <w:vAlign w:val="center"/>
                </w:tcPr>
                <w:p w14:paraId="5F30E5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lang w:val="en-US" w:eastAsia="zh-CN"/>
                    </w:rPr>
                  </w:pPr>
                  <w:r>
                    <w:rPr>
                      <w:rFonts w:hint="default" w:ascii="Times New Roman" w:hAnsi="Times New Roman" w:cs="Times New Roman"/>
                      <w:lang w:eastAsia="zh-CN"/>
                    </w:rPr>
                    <w:t>监测</w:t>
                  </w:r>
                  <w:r>
                    <w:rPr>
                      <w:rFonts w:hint="default" w:ascii="Times New Roman" w:hAnsi="Times New Roman" w:cs="Times New Roman"/>
                      <w:lang w:val="en-US" w:eastAsia="zh-CN"/>
                    </w:rPr>
                    <w:t>2天，</w:t>
                  </w:r>
                </w:p>
                <w:p w14:paraId="707126D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eastAsia" w:ascii="Times New Roman" w:hAnsi="Times New Roman" w:cs="Times New Roman"/>
                      <w:lang w:val="en-US" w:eastAsia="zh-CN"/>
                    </w:rPr>
                    <w:t>1</w:t>
                  </w:r>
                  <w:r>
                    <w:rPr>
                      <w:rFonts w:hint="default" w:ascii="Times New Roman" w:hAnsi="Times New Roman" w:cs="Times New Roman"/>
                      <w:lang w:val="en-US" w:eastAsia="zh-CN"/>
                    </w:rPr>
                    <w:t>次/天</w:t>
                  </w:r>
                  <w:r>
                    <w:rPr>
                      <w:rFonts w:hint="eastAsia" w:ascii="Times New Roman" w:hAnsi="Times New Roman" w:cs="Times New Roman"/>
                      <w:lang w:val="en-US" w:eastAsia="zh-CN"/>
                    </w:rPr>
                    <w:t>（每次3个平行样）</w:t>
                  </w:r>
                </w:p>
              </w:tc>
              <w:tc>
                <w:tcPr>
                  <w:tcW w:w="2423" w:type="dxa"/>
                  <w:tcBorders>
                    <w:tl2br w:val="nil"/>
                    <w:tr2bl w:val="nil"/>
                  </w:tcBorders>
                  <w:noWrap w:val="0"/>
                  <w:vAlign w:val="center"/>
                </w:tcPr>
                <w:p w14:paraId="4C345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r>
                    <w:rPr>
                      <w:rFonts w:hint="default" w:ascii="Times New Roman" w:hAnsi="Times New Roman" w:cs="Times New Roman"/>
                    </w:rPr>
                    <w:t>《大气污染物综合排放标准》（GB 16297-1996）表2二级标准</w:t>
                  </w:r>
                </w:p>
              </w:tc>
            </w:tr>
            <w:tr w14:paraId="22DF922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46" w:type="dxa"/>
                  <w:vMerge w:val="restart"/>
                  <w:tcBorders>
                    <w:tl2br w:val="nil"/>
                    <w:tr2bl w:val="nil"/>
                  </w:tcBorders>
                  <w:noWrap w:val="0"/>
                  <w:vAlign w:val="center"/>
                </w:tcPr>
                <w:p w14:paraId="46A6EB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无组织废气</w:t>
                  </w:r>
                </w:p>
              </w:tc>
              <w:tc>
                <w:tcPr>
                  <w:tcW w:w="1533" w:type="dxa"/>
                  <w:tcBorders>
                    <w:tl2br w:val="nil"/>
                    <w:tr2bl w:val="nil"/>
                  </w:tcBorders>
                  <w:noWrap w:val="0"/>
                  <w:vAlign w:val="center"/>
                </w:tcPr>
                <w:p w14:paraId="12D3B5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lang w:val="en-US" w:eastAsia="zh-CN"/>
                    </w:rPr>
                  </w:pPr>
                  <w:r>
                    <w:rPr>
                      <w:rFonts w:hint="eastAsia"/>
                      <w:lang w:val="en-US" w:eastAsia="zh-CN"/>
                    </w:rPr>
                    <w:t>厂界上风向</w:t>
                  </w:r>
                </w:p>
              </w:tc>
              <w:tc>
                <w:tcPr>
                  <w:tcW w:w="707" w:type="dxa"/>
                  <w:tcBorders>
                    <w:tl2br w:val="nil"/>
                    <w:tr2bl w:val="nil"/>
                  </w:tcBorders>
                  <w:noWrap w:val="0"/>
                  <w:vAlign w:val="center"/>
                </w:tcPr>
                <w:p w14:paraId="1E6F22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w:t>
                  </w:r>
                  <w:r>
                    <w:rPr>
                      <w:rFonts w:hint="default" w:ascii="Times New Roman" w:hAnsi="Times New Roman" w:cs="Times New Roman"/>
                    </w:rPr>
                    <w:t>1</w:t>
                  </w:r>
                </w:p>
              </w:tc>
              <w:tc>
                <w:tcPr>
                  <w:tcW w:w="1327" w:type="dxa"/>
                  <w:vMerge w:val="restart"/>
                  <w:tcBorders>
                    <w:tl2br w:val="nil"/>
                    <w:tr2bl w:val="nil"/>
                  </w:tcBorders>
                  <w:noWrap w:val="0"/>
                  <w:vAlign w:val="center"/>
                </w:tcPr>
                <w:p w14:paraId="41B5EE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lang w:val="en-US" w:eastAsia="zh-CN"/>
                    </w:rPr>
                  </w:pPr>
                  <w:r>
                    <w:rPr>
                      <w:rFonts w:hint="eastAsia" w:ascii="Times New Roman" w:hAnsi="Times New Roman" w:cs="Times New Roman"/>
                      <w:lang w:val="en-US" w:eastAsia="zh-CN"/>
                    </w:rPr>
                    <w:t>总悬浮颗粒物</w:t>
                  </w:r>
                </w:p>
              </w:tc>
              <w:tc>
                <w:tcPr>
                  <w:tcW w:w="1260" w:type="dxa"/>
                  <w:vMerge w:val="restart"/>
                  <w:tcBorders>
                    <w:tl2br w:val="nil"/>
                    <w:tr2bl w:val="nil"/>
                  </w:tcBorders>
                  <w:noWrap w:val="0"/>
                  <w:vAlign w:val="center"/>
                </w:tcPr>
                <w:p w14:paraId="669FE76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default" w:ascii="Times New Roman" w:hAnsi="Times New Roman" w:cs="Times New Roman"/>
                    </w:rPr>
                    <w:t>监测</w:t>
                  </w:r>
                  <w:r>
                    <w:rPr>
                      <w:rFonts w:hint="default" w:ascii="Times New Roman" w:hAnsi="Times New Roman" w:cs="Times New Roman"/>
                      <w:lang w:val="en-US" w:eastAsia="zh-CN"/>
                    </w:rPr>
                    <w:t>2</w:t>
                  </w:r>
                  <w:r>
                    <w:rPr>
                      <w:rFonts w:hint="default" w:ascii="Times New Roman" w:hAnsi="Times New Roman" w:cs="Times New Roman"/>
                    </w:rPr>
                    <w:t>天，</w:t>
                  </w:r>
                  <w:r>
                    <w:rPr>
                      <w:rFonts w:hint="default" w:ascii="Times New Roman" w:hAnsi="Times New Roman" w:cs="Times New Roman"/>
                      <w:sz w:val="21"/>
                      <w:szCs w:val="21"/>
                      <w:lang w:val="en-US" w:eastAsia="zh-CN"/>
                    </w:rPr>
                    <w:t>3次/天</w:t>
                  </w:r>
                </w:p>
              </w:tc>
              <w:tc>
                <w:tcPr>
                  <w:tcW w:w="2423" w:type="dxa"/>
                  <w:vMerge w:val="restart"/>
                  <w:tcBorders>
                    <w:tl2br w:val="nil"/>
                    <w:tr2bl w:val="nil"/>
                  </w:tcBorders>
                  <w:noWrap w:val="0"/>
                  <w:vAlign w:val="center"/>
                </w:tcPr>
                <w:p w14:paraId="1F0490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lang w:eastAsia="zh-CN"/>
                    </w:rPr>
                  </w:pPr>
                  <w:r>
                    <w:rPr>
                      <w:rFonts w:hint="default" w:ascii="Times New Roman" w:hAnsi="Times New Roman" w:cs="Times New Roman"/>
                    </w:rPr>
                    <w:t>《大气污染物综合排放标准》（GB16297-1996）表2中无组织排放标准</w:t>
                  </w:r>
                </w:p>
              </w:tc>
            </w:tr>
            <w:tr w14:paraId="02D2C3A6">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046" w:type="dxa"/>
                  <w:vMerge w:val="continue"/>
                  <w:tcBorders>
                    <w:tl2br w:val="nil"/>
                    <w:tr2bl w:val="nil"/>
                  </w:tcBorders>
                  <w:noWrap w:val="0"/>
                  <w:vAlign w:val="center"/>
                </w:tcPr>
                <w:p w14:paraId="7DDF5A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33" w:type="dxa"/>
                  <w:tcBorders>
                    <w:tl2br w:val="nil"/>
                    <w:tr2bl w:val="nil"/>
                  </w:tcBorders>
                  <w:noWrap w:val="0"/>
                  <w:vAlign w:val="center"/>
                </w:tcPr>
                <w:p w14:paraId="2F8EDD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厂界下风向</w:t>
                  </w:r>
                </w:p>
              </w:tc>
              <w:tc>
                <w:tcPr>
                  <w:tcW w:w="707" w:type="dxa"/>
                  <w:tcBorders>
                    <w:tl2br w:val="nil"/>
                    <w:tr2bl w:val="nil"/>
                  </w:tcBorders>
                  <w:noWrap w:val="0"/>
                  <w:vAlign w:val="center"/>
                </w:tcPr>
                <w:p w14:paraId="03D727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w:t>
                  </w:r>
                  <w:r>
                    <w:rPr>
                      <w:rFonts w:hint="default" w:ascii="Times New Roman" w:hAnsi="Times New Roman" w:cs="Times New Roman"/>
                    </w:rPr>
                    <w:t>2</w:t>
                  </w:r>
                </w:p>
              </w:tc>
              <w:tc>
                <w:tcPr>
                  <w:tcW w:w="1327" w:type="dxa"/>
                  <w:vMerge w:val="continue"/>
                  <w:tcBorders>
                    <w:tl2br w:val="nil"/>
                    <w:tr2bl w:val="nil"/>
                  </w:tcBorders>
                  <w:noWrap w:val="0"/>
                  <w:vAlign w:val="center"/>
                </w:tcPr>
                <w:p w14:paraId="3F7A3F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260" w:type="dxa"/>
                  <w:vMerge w:val="continue"/>
                  <w:tcBorders>
                    <w:tl2br w:val="nil"/>
                    <w:tr2bl w:val="nil"/>
                  </w:tcBorders>
                  <w:noWrap w:val="0"/>
                  <w:vAlign w:val="center"/>
                </w:tcPr>
                <w:p w14:paraId="0390399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423" w:type="dxa"/>
                  <w:vMerge w:val="continue"/>
                  <w:tcBorders>
                    <w:tl2br w:val="nil"/>
                    <w:tr2bl w:val="nil"/>
                  </w:tcBorders>
                  <w:noWrap w:val="0"/>
                  <w:vAlign w:val="center"/>
                </w:tcPr>
                <w:p w14:paraId="4E7A53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r>
            <w:tr w14:paraId="35D94E12">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046" w:type="dxa"/>
                  <w:vMerge w:val="continue"/>
                  <w:tcBorders>
                    <w:tl2br w:val="nil"/>
                    <w:tr2bl w:val="nil"/>
                  </w:tcBorders>
                  <w:noWrap w:val="0"/>
                  <w:vAlign w:val="center"/>
                </w:tcPr>
                <w:p w14:paraId="039C3E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33" w:type="dxa"/>
                  <w:tcBorders>
                    <w:tl2br w:val="nil"/>
                    <w:tr2bl w:val="nil"/>
                  </w:tcBorders>
                  <w:noWrap w:val="0"/>
                  <w:vAlign w:val="center"/>
                </w:tcPr>
                <w:p w14:paraId="4FA24F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厂界下风向</w:t>
                  </w:r>
                </w:p>
              </w:tc>
              <w:tc>
                <w:tcPr>
                  <w:tcW w:w="707" w:type="dxa"/>
                  <w:tcBorders>
                    <w:tl2br w:val="nil"/>
                    <w:tr2bl w:val="nil"/>
                  </w:tcBorders>
                  <w:noWrap w:val="0"/>
                  <w:vAlign w:val="center"/>
                </w:tcPr>
                <w:p w14:paraId="56E3EF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w:t>
                  </w:r>
                  <w:r>
                    <w:rPr>
                      <w:rFonts w:hint="default" w:ascii="Times New Roman" w:hAnsi="Times New Roman" w:cs="Times New Roman"/>
                    </w:rPr>
                    <w:t>3</w:t>
                  </w:r>
                </w:p>
              </w:tc>
              <w:tc>
                <w:tcPr>
                  <w:tcW w:w="1327" w:type="dxa"/>
                  <w:vMerge w:val="continue"/>
                  <w:tcBorders>
                    <w:tl2br w:val="nil"/>
                    <w:tr2bl w:val="nil"/>
                  </w:tcBorders>
                  <w:noWrap w:val="0"/>
                  <w:vAlign w:val="center"/>
                </w:tcPr>
                <w:p w14:paraId="43DB32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260" w:type="dxa"/>
                  <w:vMerge w:val="continue"/>
                  <w:tcBorders>
                    <w:tl2br w:val="nil"/>
                    <w:tr2bl w:val="nil"/>
                  </w:tcBorders>
                  <w:noWrap w:val="0"/>
                  <w:vAlign w:val="center"/>
                </w:tcPr>
                <w:p w14:paraId="44BEB5E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423" w:type="dxa"/>
                  <w:vMerge w:val="continue"/>
                  <w:tcBorders>
                    <w:tl2br w:val="nil"/>
                    <w:tr2bl w:val="nil"/>
                  </w:tcBorders>
                  <w:noWrap w:val="0"/>
                  <w:vAlign w:val="center"/>
                </w:tcPr>
                <w:p w14:paraId="765A73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r>
            <w:tr w14:paraId="0A71555D">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46" w:type="dxa"/>
                  <w:vMerge w:val="continue"/>
                  <w:tcBorders>
                    <w:tl2br w:val="nil"/>
                    <w:tr2bl w:val="nil"/>
                  </w:tcBorders>
                  <w:noWrap w:val="0"/>
                  <w:vAlign w:val="center"/>
                </w:tcPr>
                <w:p w14:paraId="74BF26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33" w:type="dxa"/>
                  <w:tcBorders>
                    <w:tl2br w:val="nil"/>
                    <w:tr2bl w:val="nil"/>
                  </w:tcBorders>
                  <w:noWrap w:val="0"/>
                  <w:vAlign w:val="center"/>
                </w:tcPr>
                <w:p w14:paraId="4C9C55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kern w:val="2"/>
                      <w:sz w:val="21"/>
                      <w:szCs w:val="24"/>
                      <w:lang w:val="en-US" w:eastAsia="zh-CN" w:bidi="ar-SA"/>
                    </w:rPr>
                  </w:pPr>
                  <w:r>
                    <w:rPr>
                      <w:rFonts w:hint="eastAsia"/>
                    </w:rPr>
                    <w:t>厂界下风向</w:t>
                  </w:r>
                </w:p>
              </w:tc>
              <w:tc>
                <w:tcPr>
                  <w:tcW w:w="707" w:type="dxa"/>
                  <w:tcBorders>
                    <w:tl2br w:val="nil"/>
                    <w:tr2bl w:val="nil"/>
                  </w:tcBorders>
                  <w:noWrap w:val="0"/>
                  <w:vAlign w:val="center"/>
                </w:tcPr>
                <w:p w14:paraId="5DFE11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kern w:val="2"/>
                      <w:sz w:val="21"/>
                      <w:szCs w:val="24"/>
                      <w:lang w:val="en-US" w:eastAsia="zh-CN" w:bidi="ar-SA"/>
                    </w:rPr>
                  </w:pPr>
                  <w:r>
                    <w:rPr>
                      <w:rFonts w:hint="eastAsia"/>
                    </w:rPr>
                    <w:t>○</w:t>
                  </w:r>
                  <w:r>
                    <w:rPr>
                      <w:rFonts w:hint="default" w:ascii="Times New Roman" w:hAnsi="Times New Roman" w:cs="Times New Roman"/>
                      <w:lang w:val="en-US" w:eastAsia="zh-CN"/>
                    </w:rPr>
                    <w:t>4</w:t>
                  </w:r>
                </w:p>
              </w:tc>
              <w:tc>
                <w:tcPr>
                  <w:tcW w:w="1327" w:type="dxa"/>
                  <w:vMerge w:val="continue"/>
                  <w:tcBorders>
                    <w:tl2br w:val="nil"/>
                    <w:tr2bl w:val="nil"/>
                  </w:tcBorders>
                  <w:noWrap w:val="0"/>
                  <w:vAlign w:val="center"/>
                </w:tcPr>
                <w:p w14:paraId="4B51E0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rPr>
                  </w:pPr>
                </w:p>
              </w:tc>
              <w:tc>
                <w:tcPr>
                  <w:tcW w:w="1260" w:type="dxa"/>
                  <w:vMerge w:val="continue"/>
                  <w:tcBorders>
                    <w:tl2br w:val="nil"/>
                    <w:tr2bl w:val="nil"/>
                  </w:tcBorders>
                  <w:noWrap w:val="0"/>
                  <w:vAlign w:val="center"/>
                </w:tcPr>
                <w:p w14:paraId="07F2E4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c>
                <w:tcPr>
                  <w:tcW w:w="2423" w:type="dxa"/>
                  <w:vMerge w:val="continue"/>
                  <w:tcBorders>
                    <w:tl2br w:val="nil"/>
                    <w:tr2bl w:val="nil"/>
                  </w:tcBorders>
                  <w:noWrap w:val="0"/>
                  <w:vAlign w:val="center"/>
                </w:tcPr>
                <w:p w14:paraId="58B555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r>
            <w:tr w14:paraId="7F97CBC5">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6" w:type="dxa"/>
                  <w:vMerge w:val="restart"/>
                  <w:tcBorders>
                    <w:tl2br w:val="nil"/>
                    <w:tr2bl w:val="nil"/>
                  </w:tcBorders>
                  <w:noWrap w:val="0"/>
                  <w:vAlign w:val="center"/>
                </w:tcPr>
                <w:p w14:paraId="3267A5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t>噪声</w:t>
                  </w:r>
                </w:p>
              </w:tc>
              <w:tc>
                <w:tcPr>
                  <w:tcW w:w="1533" w:type="dxa"/>
                  <w:tcBorders>
                    <w:tl2br w:val="nil"/>
                    <w:tr2bl w:val="nil"/>
                  </w:tcBorders>
                  <w:noWrap w:val="0"/>
                  <w:vAlign w:val="center"/>
                </w:tcPr>
                <w:p w14:paraId="3CB4C4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东厂界</w:t>
                  </w:r>
                </w:p>
              </w:tc>
              <w:tc>
                <w:tcPr>
                  <w:tcW w:w="707" w:type="dxa"/>
                  <w:tcBorders>
                    <w:tl2br w:val="nil"/>
                    <w:tr2bl w:val="nil"/>
                  </w:tcBorders>
                  <w:noWrap w:val="0"/>
                  <w:vAlign w:val="center"/>
                </w:tcPr>
                <w:p w14:paraId="1F5BC6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1</w:t>
                  </w:r>
                </w:p>
              </w:tc>
              <w:tc>
                <w:tcPr>
                  <w:tcW w:w="1327" w:type="dxa"/>
                  <w:vMerge w:val="restart"/>
                  <w:tcBorders>
                    <w:tl2br w:val="nil"/>
                    <w:tr2bl w:val="nil"/>
                  </w:tcBorders>
                  <w:noWrap w:val="0"/>
                  <w:vAlign w:val="center"/>
                </w:tcPr>
                <w:p w14:paraId="28653F9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default" w:ascii="Times New Roman" w:hAnsi="Times New Roman" w:cs="Times New Roman"/>
                    </w:rPr>
                    <w:t>等效连续（A声级）</w:t>
                  </w:r>
                </w:p>
              </w:tc>
              <w:tc>
                <w:tcPr>
                  <w:tcW w:w="1260" w:type="dxa"/>
                  <w:vMerge w:val="restart"/>
                  <w:tcBorders>
                    <w:tl2br w:val="nil"/>
                    <w:tr2bl w:val="nil"/>
                  </w:tcBorders>
                  <w:noWrap w:val="0"/>
                  <w:vAlign w:val="center"/>
                </w:tcPr>
                <w:p w14:paraId="717B6B3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default" w:ascii="Times New Roman" w:hAnsi="Times New Roman" w:cs="Times New Roman"/>
                    </w:rPr>
                    <w:t>监测</w:t>
                  </w:r>
                  <w:r>
                    <w:rPr>
                      <w:rFonts w:hint="eastAsia" w:ascii="Times New Roman" w:hAnsi="Times New Roman" w:cs="Times New Roman"/>
                      <w:lang w:val="en-US" w:eastAsia="zh-CN"/>
                    </w:rPr>
                    <w:t>2</w:t>
                  </w:r>
                  <w:r>
                    <w:rPr>
                      <w:rFonts w:hint="default" w:ascii="Times New Roman" w:hAnsi="Times New Roman" w:cs="Times New Roman"/>
                    </w:rPr>
                    <w:t>天，分昼间和夜间两时段监测</w:t>
                  </w:r>
                </w:p>
              </w:tc>
              <w:tc>
                <w:tcPr>
                  <w:tcW w:w="2423" w:type="dxa"/>
                  <w:vMerge w:val="restart"/>
                  <w:tcBorders>
                    <w:tl2br w:val="nil"/>
                    <w:tr2bl w:val="nil"/>
                  </w:tcBorders>
                  <w:noWrap w:val="0"/>
                  <w:vAlign w:val="center"/>
                </w:tcPr>
                <w:p w14:paraId="1D8B16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lang w:eastAsia="zh-CN"/>
                    </w:rPr>
                  </w:pPr>
                  <w:r>
                    <w:rPr>
                      <w:rFonts w:hint="default" w:ascii="Times New Roman" w:hAnsi="Times New Roman" w:cs="Times New Roman"/>
                    </w:rPr>
                    <w:t>《工业企业厂界环境噪声排放标准》（GB12348-2008）中</w:t>
                  </w:r>
                  <w:r>
                    <w:rPr>
                      <w:rFonts w:hint="eastAsia" w:ascii="Times New Roman" w:hAnsi="Times New Roman" w:cs="Times New Roman"/>
                      <w:lang w:val="en-US" w:eastAsia="zh-CN"/>
                    </w:rPr>
                    <w:t>2</w:t>
                  </w:r>
                  <w:r>
                    <w:rPr>
                      <w:rFonts w:hint="default" w:ascii="Times New Roman" w:hAnsi="Times New Roman" w:cs="Times New Roman"/>
                      <w:lang w:eastAsia="zh-CN"/>
                    </w:rPr>
                    <w:t>类</w:t>
                  </w:r>
                  <w:r>
                    <w:rPr>
                      <w:rFonts w:hint="default" w:ascii="Times New Roman" w:hAnsi="Times New Roman" w:cs="Times New Roman"/>
                    </w:rPr>
                    <w:t>标准</w:t>
                  </w:r>
                </w:p>
              </w:tc>
            </w:tr>
            <w:tr w14:paraId="35D1A5B2">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6" w:type="dxa"/>
                  <w:vMerge w:val="continue"/>
                  <w:tcBorders>
                    <w:tl2br w:val="nil"/>
                    <w:tr2bl w:val="nil"/>
                  </w:tcBorders>
                  <w:noWrap w:val="0"/>
                  <w:vAlign w:val="center"/>
                </w:tcPr>
                <w:p w14:paraId="4EFB94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33" w:type="dxa"/>
                  <w:tcBorders>
                    <w:tl2br w:val="nil"/>
                    <w:tr2bl w:val="nil"/>
                  </w:tcBorders>
                  <w:noWrap w:val="0"/>
                  <w:vAlign w:val="center"/>
                </w:tcPr>
                <w:p w14:paraId="28F722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南厂界</w:t>
                  </w:r>
                </w:p>
              </w:tc>
              <w:tc>
                <w:tcPr>
                  <w:tcW w:w="707" w:type="dxa"/>
                  <w:tcBorders>
                    <w:tl2br w:val="nil"/>
                    <w:tr2bl w:val="nil"/>
                  </w:tcBorders>
                  <w:noWrap w:val="0"/>
                  <w:vAlign w:val="center"/>
                </w:tcPr>
                <w:p w14:paraId="70F068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2</w:t>
                  </w:r>
                </w:p>
              </w:tc>
              <w:tc>
                <w:tcPr>
                  <w:tcW w:w="1327" w:type="dxa"/>
                  <w:vMerge w:val="continue"/>
                  <w:tcBorders>
                    <w:tl2br w:val="nil"/>
                    <w:tr2bl w:val="nil"/>
                  </w:tcBorders>
                  <w:noWrap w:val="0"/>
                  <w:vAlign w:val="center"/>
                </w:tcPr>
                <w:p w14:paraId="1C486C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260" w:type="dxa"/>
                  <w:vMerge w:val="continue"/>
                  <w:tcBorders>
                    <w:tl2br w:val="nil"/>
                    <w:tr2bl w:val="nil"/>
                  </w:tcBorders>
                  <w:noWrap w:val="0"/>
                  <w:vAlign w:val="center"/>
                </w:tcPr>
                <w:p w14:paraId="7780DB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23" w:type="dxa"/>
                  <w:vMerge w:val="continue"/>
                  <w:tcBorders>
                    <w:tl2br w:val="nil"/>
                    <w:tr2bl w:val="nil"/>
                  </w:tcBorders>
                  <w:noWrap w:val="0"/>
                  <w:vAlign w:val="center"/>
                </w:tcPr>
                <w:p w14:paraId="20040A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03CB2CA2">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6" w:type="dxa"/>
                  <w:vMerge w:val="continue"/>
                  <w:tcBorders>
                    <w:tl2br w:val="nil"/>
                    <w:tr2bl w:val="nil"/>
                  </w:tcBorders>
                  <w:noWrap w:val="0"/>
                  <w:vAlign w:val="center"/>
                </w:tcPr>
                <w:p w14:paraId="3E3053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33" w:type="dxa"/>
                  <w:tcBorders>
                    <w:tl2br w:val="nil"/>
                    <w:tr2bl w:val="nil"/>
                  </w:tcBorders>
                  <w:noWrap w:val="0"/>
                  <w:vAlign w:val="center"/>
                </w:tcPr>
                <w:p w14:paraId="7C5812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西厂界</w:t>
                  </w:r>
                </w:p>
              </w:tc>
              <w:tc>
                <w:tcPr>
                  <w:tcW w:w="707" w:type="dxa"/>
                  <w:tcBorders>
                    <w:tl2br w:val="nil"/>
                    <w:tr2bl w:val="nil"/>
                  </w:tcBorders>
                  <w:noWrap w:val="0"/>
                  <w:vAlign w:val="center"/>
                </w:tcPr>
                <w:p w14:paraId="6FB803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3</w:t>
                  </w:r>
                </w:p>
              </w:tc>
              <w:tc>
                <w:tcPr>
                  <w:tcW w:w="1327" w:type="dxa"/>
                  <w:vMerge w:val="continue"/>
                  <w:tcBorders>
                    <w:tl2br w:val="nil"/>
                    <w:tr2bl w:val="nil"/>
                  </w:tcBorders>
                  <w:noWrap w:val="0"/>
                  <w:vAlign w:val="center"/>
                </w:tcPr>
                <w:p w14:paraId="302730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260" w:type="dxa"/>
                  <w:vMerge w:val="continue"/>
                  <w:tcBorders>
                    <w:tl2br w:val="nil"/>
                    <w:tr2bl w:val="nil"/>
                  </w:tcBorders>
                  <w:noWrap w:val="0"/>
                  <w:vAlign w:val="center"/>
                </w:tcPr>
                <w:p w14:paraId="0A1B22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23" w:type="dxa"/>
                  <w:vMerge w:val="continue"/>
                  <w:tcBorders>
                    <w:tl2br w:val="nil"/>
                    <w:tr2bl w:val="nil"/>
                  </w:tcBorders>
                  <w:noWrap w:val="0"/>
                  <w:vAlign w:val="center"/>
                </w:tcPr>
                <w:p w14:paraId="6A7022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487363A9">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continue"/>
                  <w:tcBorders>
                    <w:tl2br w:val="nil"/>
                    <w:tr2bl w:val="nil"/>
                  </w:tcBorders>
                  <w:noWrap w:val="0"/>
                  <w:vAlign w:val="center"/>
                </w:tcPr>
                <w:p w14:paraId="369A3A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33" w:type="dxa"/>
                  <w:tcBorders>
                    <w:tl2br w:val="nil"/>
                    <w:tr2bl w:val="nil"/>
                  </w:tcBorders>
                  <w:noWrap w:val="0"/>
                  <w:vAlign w:val="center"/>
                </w:tcPr>
                <w:p w14:paraId="386728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r>
                    <w:rPr>
                      <w:rFonts w:hint="eastAsia"/>
                    </w:rPr>
                    <w:t>北厂界</w:t>
                  </w:r>
                </w:p>
              </w:tc>
              <w:tc>
                <w:tcPr>
                  <w:tcW w:w="707" w:type="dxa"/>
                  <w:tcBorders>
                    <w:tl2br w:val="nil"/>
                    <w:tr2bl w:val="nil"/>
                  </w:tcBorders>
                  <w:noWrap w:val="0"/>
                  <w:vAlign w:val="center"/>
                </w:tcPr>
                <w:p w14:paraId="5FCD8D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4</w:t>
                  </w:r>
                </w:p>
              </w:tc>
              <w:tc>
                <w:tcPr>
                  <w:tcW w:w="1327" w:type="dxa"/>
                  <w:vMerge w:val="continue"/>
                  <w:tcBorders>
                    <w:tl2br w:val="nil"/>
                    <w:tr2bl w:val="nil"/>
                  </w:tcBorders>
                  <w:noWrap w:val="0"/>
                  <w:vAlign w:val="center"/>
                </w:tcPr>
                <w:p w14:paraId="48EC61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260" w:type="dxa"/>
                  <w:vMerge w:val="continue"/>
                  <w:tcBorders>
                    <w:tl2br w:val="nil"/>
                    <w:tr2bl w:val="nil"/>
                  </w:tcBorders>
                  <w:noWrap w:val="0"/>
                  <w:vAlign w:val="center"/>
                </w:tcPr>
                <w:p w14:paraId="7C006E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423" w:type="dxa"/>
                  <w:vMerge w:val="continue"/>
                  <w:tcBorders>
                    <w:tl2br w:val="nil"/>
                    <w:tr2bl w:val="nil"/>
                  </w:tcBorders>
                  <w:noWrap w:val="0"/>
                  <w:vAlign w:val="center"/>
                </w:tcPr>
                <w:p w14:paraId="065653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bl>
          <w:p w14:paraId="267203F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val="en-US" w:eastAsia="zh-CN"/>
              </w:rPr>
            </w:pPr>
            <w:r>
              <w:rPr>
                <w:rFonts w:hint="eastAsia"/>
                <w:b/>
                <w:bCs/>
                <w:sz w:val="21"/>
                <w:szCs w:val="21"/>
                <w:lang w:eastAsia="zh-CN"/>
              </w:rPr>
              <w:t>检测方法：</w:t>
            </w:r>
          </w:p>
          <w:p w14:paraId="110E3697">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bCs/>
              </w:rPr>
            </w:pPr>
            <w:r>
              <w:rPr>
                <w:rFonts w:hint="eastAsia" w:ascii="Times New Roman" w:hAnsi="Times New Roman" w:cs="Times New Roman"/>
                <w:b/>
                <w:bCs/>
                <w:lang w:val="en-US" w:eastAsia="zh-CN"/>
              </w:rPr>
              <w:t>表</w:t>
            </w:r>
            <w:r>
              <w:rPr>
                <w:rFonts w:hint="default" w:ascii="Times New Roman" w:hAnsi="Times New Roman" w:cs="Times New Roman"/>
                <w:b/>
                <w:bCs/>
                <w:lang w:val="en-US" w:eastAsia="zh-CN"/>
              </w:rPr>
              <w:t>6-2</w:t>
            </w:r>
            <w:r>
              <w:rPr>
                <w:rFonts w:hint="default" w:ascii="Times New Roman" w:hAnsi="Times New Roman" w:cs="Times New Roman"/>
                <w:b/>
                <w:bCs/>
                <w:lang w:eastAsia="zh-CN"/>
              </w:rPr>
              <w:t>监测</w:t>
            </w:r>
            <w:r>
              <w:rPr>
                <w:rFonts w:hint="default" w:ascii="Times New Roman" w:hAnsi="Times New Roman" w:cs="Times New Roman"/>
                <w:b/>
                <w:bCs/>
              </w:rPr>
              <w:t>分析方法</w:t>
            </w:r>
            <w:r>
              <w:rPr>
                <w:rFonts w:hint="eastAsia" w:ascii="Times New Roman" w:hAnsi="Times New Roman" w:cs="Times New Roman"/>
                <w:b/>
                <w:bCs/>
                <w:lang w:eastAsia="zh-CN"/>
              </w:rPr>
              <w:t>和仪器设备</w:t>
            </w:r>
            <w:r>
              <w:rPr>
                <w:rFonts w:hint="default" w:ascii="Times New Roman" w:hAnsi="Times New Roman" w:cs="Times New Roman"/>
                <w:b/>
                <w:bCs/>
                <w:lang w:eastAsia="zh-CN"/>
              </w:rPr>
              <w:t>一览表</w:t>
            </w:r>
          </w:p>
          <w:tbl>
            <w:tblPr>
              <w:tblStyle w:val="24"/>
              <w:tblW w:w="830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2977"/>
              <w:gridCol w:w="1335"/>
              <w:gridCol w:w="2428"/>
            </w:tblGrid>
            <w:tr w14:paraId="245175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66" w:type="dxa"/>
                  <w:noWrap w:val="0"/>
                  <w:vAlign w:val="center"/>
                </w:tcPr>
                <w:p w14:paraId="38A94D4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lang w:eastAsia="zh-CN"/>
                    </w:rPr>
                    <w:t>监测</w:t>
                  </w:r>
                  <w:r>
                    <w:rPr>
                      <w:rFonts w:hint="default" w:ascii="Times New Roman" w:hAnsi="Times New Roman" w:cs="Times New Roman"/>
                      <w:b/>
                      <w:bCs/>
                    </w:rPr>
                    <w:t>项目</w:t>
                  </w:r>
                </w:p>
              </w:tc>
              <w:tc>
                <w:tcPr>
                  <w:tcW w:w="2977" w:type="dxa"/>
                  <w:noWrap w:val="0"/>
                  <w:vAlign w:val="center"/>
                </w:tcPr>
                <w:p w14:paraId="1F0449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lang w:eastAsia="zh-CN"/>
                    </w:rPr>
                    <w:t>检测方法名称和标号</w:t>
                  </w:r>
                </w:p>
              </w:tc>
              <w:tc>
                <w:tcPr>
                  <w:tcW w:w="1335" w:type="dxa"/>
                  <w:noWrap w:val="0"/>
                  <w:vAlign w:val="center"/>
                </w:tcPr>
                <w:p w14:paraId="04C93F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rPr>
                    <w:t>方法</w:t>
                  </w:r>
                  <w:r>
                    <w:rPr>
                      <w:rFonts w:hint="default" w:ascii="Times New Roman" w:hAnsi="Times New Roman" w:cs="Times New Roman"/>
                      <w:b/>
                      <w:bCs/>
                      <w:lang w:eastAsia="zh-CN"/>
                    </w:rPr>
                    <w:t>检出限</w:t>
                  </w:r>
                </w:p>
              </w:tc>
              <w:tc>
                <w:tcPr>
                  <w:tcW w:w="2428" w:type="dxa"/>
                  <w:noWrap w:val="0"/>
                  <w:vAlign w:val="center"/>
                </w:tcPr>
                <w:p w14:paraId="2E1959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szCs w:val="21"/>
                    </w:rPr>
                    <w:t>分析仪器及编号</w:t>
                  </w:r>
                </w:p>
              </w:tc>
            </w:tr>
            <w:tr w14:paraId="39AA2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66" w:type="dxa"/>
                  <w:shd w:val="clear" w:color="auto" w:fill="auto"/>
                  <w:noWrap w:val="0"/>
                  <w:vAlign w:val="center"/>
                </w:tcPr>
                <w:p w14:paraId="428BA6E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颗粒物</w:t>
                  </w:r>
                </w:p>
              </w:tc>
              <w:tc>
                <w:tcPr>
                  <w:tcW w:w="2977" w:type="dxa"/>
                  <w:shd w:val="clear" w:color="auto" w:fill="auto"/>
                  <w:noWrap w:val="0"/>
                  <w:vAlign w:val="center"/>
                </w:tcPr>
                <w:p w14:paraId="21C881B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固定源废气监测技术规范 颗粒物的测定</w:t>
                  </w:r>
                </w:p>
                <w:p w14:paraId="04C8544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color w:val="auto"/>
                      <w:kern w:val="2"/>
                      <w:sz w:val="21"/>
                      <w:szCs w:val="21"/>
                      <w:lang w:val="en-US" w:eastAsia="zh-CN" w:bidi="ar-SA"/>
                    </w:rPr>
                    <w:t>（HJ/T 397-2007）</w:t>
                  </w:r>
                </w:p>
              </w:tc>
              <w:tc>
                <w:tcPr>
                  <w:tcW w:w="1335" w:type="dxa"/>
                  <w:shd w:val="clear" w:color="auto" w:fill="auto"/>
                  <w:noWrap w:val="0"/>
                  <w:vAlign w:val="center"/>
                </w:tcPr>
                <w:p w14:paraId="36E8989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kern w:val="0"/>
                      <w:sz w:val="21"/>
                      <w:szCs w:val="21"/>
                      <w:lang w:val="en-US" w:eastAsia="zh-CN"/>
                    </w:rPr>
                    <w:t>--</w:t>
                  </w:r>
                </w:p>
              </w:tc>
              <w:tc>
                <w:tcPr>
                  <w:tcW w:w="2428" w:type="dxa"/>
                  <w:shd w:val="clear" w:color="auto" w:fill="auto"/>
                  <w:noWrap w:val="0"/>
                  <w:vAlign w:val="center"/>
                </w:tcPr>
                <w:p w14:paraId="6E1FD984">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rPr>
                    <w:t>3012H</w:t>
                  </w:r>
                  <w:r>
                    <w:rPr>
                      <w:rFonts w:hint="default" w:ascii="Times New Roman" w:hAnsi="Times New Roman" w:cs="Times New Roman"/>
                      <w:szCs w:val="21"/>
                      <w:lang w:val="en-US" w:eastAsia="zh-CN"/>
                    </w:rPr>
                    <w:t>-D</w:t>
                  </w:r>
                  <w:r>
                    <w:rPr>
                      <w:rFonts w:hint="default" w:ascii="Times New Roman" w:hAnsi="Times New Roman" w:cs="Times New Roman"/>
                      <w:szCs w:val="21"/>
                    </w:rPr>
                    <w:t>自动烟尘（气）测试仪 ZYJC-</w:t>
                  </w:r>
                  <w:r>
                    <w:rPr>
                      <w:rFonts w:hint="default" w:ascii="Times New Roman" w:hAnsi="Times New Roman" w:cs="Times New Roman"/>
                      <w:szCs w:val="21"/>
                      <w:lang w:val="en-US" w:eastAsia="zh-CN"/>
                    </w:rPr>
                    <w:t>112</w:t>
                  </w:r>
                </w:p>
                <w:p w14:paraId="42DE14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sz w:val="21"/>
                      <w:szCs w:val="21"/>
                    </w:rPr>
                    <w:t>分析天平（万分之一）</w:t>
                  </w:r>
                  <w:r>
                    <w:rPr>
                      <w:rFonts w:hint="default" w:ascii="Times New Roman" w:hAnsi="Times New Roman" w:cs="Times New Roman"/>
                      <w:sz w:val="21"/>
                      <w:szCs w:val="21"/>
                    </w:rPr>
                    <w:t xml:space="preserve"> </w:t>
                  </w:r>
                  <w:r>
                    <w:rPr>
                      <w:rFonts w:hint="default" w:ascii="Times New Roman" w:hAnsi="Times New Roman" w:cs="Times New Roman"/>
                      <w:szCs w:val="21"/>
                      <w:lang w:val="en-US" w:eastAsia="zh-CN"/>
                    </w:rPr>
                    <w:t>ZYJC-027</w:t>
                  </w:r>
                </w:p>
              </w:tc>
            </w:tr>
            <w:tr w14:paraId="0C5273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66" w:type="dxa"/>
                  <w:shd w:val="clear" w:color="auto" w:fill="auto"/>
                  <w:noWrap w:val="0"/>
                  <w:vAlign w:val="center"/>
                </w:tcPr>
                <w:p w14:paraId="25DF0B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en-US" w:eastAsia="zh-CN"/>
                    </w:rPr>
                    <w:t>总悬浮颗粒物</w:t>
                  </w:r>
                </w:p>
              </w:tc>
              <w:tc>
                <w:tcPr>
                  <w:tcW w:w="2977" w:type="dxa"/>
                  <w:shd w:val="clear" w:color="auto" w:fill="auto"/>
                  <w:noWrap w:val="0"/>
                  <w:vAlign w:val="center"/>
                </w:tcPr>
                <w:p w14:paraId="76E960CE">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lang w:val="en-US" w:eastAsia="zh-CN"/>
                    </w:rPr>
                    <w:t>环境空气 总悬浮颗粒物的测定 重量法</w:t>
                  </w:r>
                </w:p>
                <w:p w14:paraId="329B978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en-US" w:eastAsia="zh-CN"/>
                    </w:rPr>
                    <w:t>（HJ 1263-2022）</w:t>
                  </w:r>
                </w:p>
              </w:tc>
              <w:tc>
                <w:tcPr>
                  <w:tcW w:w="1335" w:type="dxa"/>
                  <w:shd w:val="clear" w:color="auto" w:fill="auto"/>
                  <w:noWrap w:val="0"/>
                  <w:vAlign w:val="center"/>
                </w:tcPr>
                <w:p w14:paraId="7FAB27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color w:val="auto"/>
                      <w:sz w:val="21"/>
                      <w:szCs w:val="21"/>
                      <w:lang w:val="en-US" w:eastAsia="zh-CN"/>
                    </w:rPr>
                    <w:t>168</w:t>
                  </w:r>
                  <w:r>
                    <w:rPr>
                      <w:rFonts w:hint="default" w:ascii="Times New Roman" w:hAnsi="Times New Roman" w:eastAsia="宋体" w:cs="Times New Roman"/>
                      <w:color w:val="auto"/>
                      <w:sz w:val="21"/>
                      <w:szCs w:val="21"/>
                      <w:lang w:val="en-US" w:eastAsia="zh-CN"/>
                    </w:rPr>
                    <w:t>µ</w:t>
                  </w:r>
                  <w:r>
                    <w:rPr>
                      <w:rFonts w:hint="default" w:ascii="Times New Roman" w:hAnsi="Times New Roman" w:cs="Times New Roman"/>
                      <w:color w:val="auto"/>
                      <w:sz w:val="21"/>
                      <w:szCs w:val="21"/>
                    </w:rPr>
                    <w:t>g/m</w:t>
                  </w:r>
                  <w:r>
                    <w:rPr>
                      <w:rFonts w:hint="default" w:ascii="Times New Roman" w:hAnsi="Times New Roman" w:cs="Times New Roman"/>
                      <w:color w:val="auto"/>
                      <w:sz w:val="21"/>
                      <w:szCs w:val="21"/>
                      <w:vertAlign w:val="superscript"/>
                    </w:rPr>
                    <w:t>3</w:t>
                  </w:r>
                </w:p>
              </w:tc>
              <w:tc>
                <w:tcPr>
                  <w:tcW w:w="2428" w:type="dxa"/>
                  <w:shd w:val="clear" w:color="auto" w:fill="auto"/>
                  <w:noWrap w:val="0"/>
                  <w:vAlign w:val="center"/>
                </w:tcPr>
                <w:p w14:paraId="3A551F6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 w:val="21"/>
                      <w:szCs w:val="21"/>
                      <w:lang w:val="en-US" w:eastAsia="zh-CN"/>
                    </w:rPr>
                    <w:t>环境空气综合</w:t>
                  </w:r>
                  <w:r>
                    <w:rPr>
                      <w:rFonts w:hint="default" w:ascii="Times New Roman" w:hAnsi="Times New Roman" w:eastAsia="宋体" w:cs="Times New Roman"/>
                      <w:sz w:val="21"/>
                      <w:szCs w:val="21"/>
                      <w:lang w:eastAsia="zh-CN"/>
                    </w:rPr>
                    <w:t>采样器</w:t>
                  </w:r>
                  <w:r>
                    <w:rPr>
                      <w:rFonts w:hint="default" w:ascii="Times New Roman" w:hAnsi="Times New Roman" w:cs="Times New Roman"/>
                      <w:sz w:val="21"/>
                      <w:szCs w:val="21"/>
                    </w:rPr>
                    <w:t xml:space="preserve"> ZYJC-</w:t>
                  </w:r>
                  <w:r>
                    <w:rPr>
                      <w:rFonts w:hint="default" w:ascii="Times New Roman" w:hAnsi="Times New Roman" w:cs="Times New Roman"/>
                      <w:sz w:val="21"/>
                      <w:szCs w:val="21"/>
                      <w:lang w:val="en-US" w:eastAsia="zh-CN"/>
                    </w:rPr>
                    <w:t>091/092/093/083</w:t>
                  </w:r>
                  <w:r>
                    <w:rPr>
                      <w:rFonts w:hint="default" w:ascii="Times New Roman" w:hAnsi="Times New Roman" w:cs="Times New Roman"/>
                      <w:color w:val="auto"/>
                      <w:kern w:val="2"/>
                      <w:sz w:val="21"/>
                      <w:szCs w:val="21"/>
                      <w:lang w:val="en-US" w:eastAsia="zh-CN" w:bidi="ar-SA"/>
                    </w:rPr>
                    <w:t>电子天平（十万分之一）</w:t>
                  </w:r>
                  <w:r>
                    <w:rPr>
                      <w:rFonts w:hint="default" w:ascii="Times New Roman" w:hAnsi="Times New Roman" w:cs="Times New Roman"/>
                      <w:color w:val="auto"/>
                      <w:lang w:val="en-US" w:eastAsia="zh-CN"/>
                    </w:rPr>
                    <w:t>ZYJC-067</w:t>
                  </w:r>
                </w:p>
              </w:tc>
            </w:tr>
            <w:tr w14:paraId="629F85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66" w:type="dxa"/>
                  <w:shd w:val="clear" w:color="auto" w:fill="auto"/>
                  <w:vAlign w:val="center"/>
                </w:tcPr>
                <w:p w14:paraId="0300C8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en-US" w:eastAsia="zh-CN"/>
                    </w:rPr>
                    <w:t>噪声</w:t>
                  </w:r>
                </w:p>
              </w:tc>
              <w:tc>
                <w:tcPr>
                  <w:tcW w:w="2977" w:type="dxa"/>
                  <w:shd w:val="clear" w:color="auto" w:fill="auto"/>
                  <w:vAlign w:val="center"/>
                </w:tcPr>
                <w:p w14:paraId="0EE89D48">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lang w:val="en-US" w:eastAsia="zh-CN"/>
                    </w:rPr>
                    <w:t>《工业企业厂界环境噪声排放标准》</w:t>
                  </w:r>
                </w:p>
                <w:p w14:paraId="77ECDB3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en-US" w:eastAsia="zh-CN"/>
                    </w:rPr>
                    <w:t xml:space="preserve">（GB 12348-2008）                          </w:t>
                  </w:r>
                </w:p>
              </w:tc>
              <w:tc>
                <w:tcPr>
                  <w:tcW w:w="1335" w:type="dxa"/>
                  <w:shd w:val="clear" w:color="auto" w:fill="auto"/>
                  <w:vAlign w:val="center"/>
                </w:tcPr>
                <w:p w14:paraId="73A95E3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en-US" w:eastAsia="zh-CN"/>
                    </w:rPr>
                    <w:t>--</w:t>
                  </w:r>
                </w:p>
              </w:tc>
              <w:tc>
                <w:tcPr>
                  <w:tcW w:w="2428" w:type="dxa"/>
                  <w:shd w:val="clear" w:color="auto" w:fill="auto"/>
                  <w:vAlign w:val="center"/>
                </w:tcPr>
                <w:p w14:paraId="01B6D26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en-US" w:eastAsia="zh-CN"/>
                    </w:rPr>
                    <w:t>噪声频谱分析仪</w:t>
                  </w:r>
                  <w:r>
                    <w:rPr>
                      <w:rFonts w:hint="default" w:ascii="Times New Roman" w:hAnsi="Times New Roman" w:cs="Times New Roman"/>
                      <w:color w:val="auto"/>
                      <w:lang w:val="en-US" w:eastAsia="zh-CN"/>
                    </w:rPr>
                    <w:t>ZYJC-084</w:t>
                  </w:r>
                </w:p>
              </w:tc>
            </w:tr>
          </w:tbl>
          <w:p w14:paraId="116E4DC0">
            <w:pPr>
              <w:pStyle w:val="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eastAsia"/>
                <w:color w:val="auto"/>
                <w:sz w:val="21"/>
                <w:szCs w:val="21"/>
                <w:lang w:eastAsia="zh-CN"/>
              </w:rPr>
            </w:pPr>
          </w:p>
          <w:p w14:paraId="21F72E6F">
            <w:pPr>
              <w:pStyle w:val="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eastAsia"/>
                <w:color w:val="auto"/>
                <w:sz w:val="21"/>
                <w:szCs w:val="21"/>
                <w:lang w:eastAsia="zh-CN"/>
              </w:rPr>
            </w:pPr>
          </w:p>
          <w:p w14:paraId="3F9ECC44">
            <w:pPr>
              <w:pStyle w:val="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eastAsia" w:eastAsia="宋体"/>
                <w:color w:val="auto"/>
                <w:sz w:val="21"/>
                <w:szCs w:val="21"/>
                <w:lang w:eastAsia="zh-CN"/>
              </w:rPr>
            </w:pPr>
          </w:p>
        </w:tc>
      </w:tr>
    </w:tbl>
    <w:p w14:paraId="39D39855">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color w:val="000000" w:themeColor="text1"/>
          <w:sz w:val="28"/>
          <w:szCs w:val="28"/>
          <w:lang w:val="en-US" w:eastAsia="zh-CN"/>
          <w14:textFill>
            <w14:solidFill>
              <w14:schemeClr w14:val="tx1"/>
            </w14:solidFill>
          </w14:textFill>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417C0F89">
      <w:pPr>
        <w:pStyle w:val="2"/>
        <w:rPr>
          <w:rFonts w:hint="eastAsia"/>
          <w:b/>
          <w:bCs w:val="0"/>
          <w:color w:val="000000" w:themeColor="text1"/>
          <w:sz w:val="28"/>
          <w:szCs w:val="28"/>
          <w:lang w:val="en-US" w:eastAsia="zh-CN"/>
          <w14:textFill>
            <w14:solidFill>
              <w14:schemeClr w14:val="tx1"/>
            </w14:solidFill>
          </w14:textFill>
        </w:rPr>
      </w:pPr>
      <w:bookmarkStart w:id="33" w:name="_Toc24097"/>
      <w:bookmarkStart w:id="34" w:name="_Toc5091"/>
      <w:bookmarkStart w:id="35" w:name="_Toc18898"/>
      <w:bookmarkStart w:id="36" w:name="_Toc5723"/>
      <w:r>
        <w:rPr>
          <w:b/>
          <w:bCs w:val="0"/>
          <w:color w:val="000000" w:themeColor="text1"/>
          <w:sz w:val="28"/>
          <w:szCs w:val="28"/>
          <w:lang w:val="en-US" w:eastAsia="zh-CN"/>
          <w14:textFill>
            <w14:solidFill>
              <w14:schemeClr w14:val="tx1"/>
            </w14:solidFill>
          </w14:textFill>
        </w:rPr>
        <w:t>表</w:t>
      </w:r>
      <w:r>
        <w:rPr>
          <w:rFonts w:hint="eastAsia"/>
          <w:b/>
          <w:bCs w:val="0"/>
          <w:color w:val="000000" w:themeColor="text1"/>
          <w:sz w:val="28"/>
          <w:szCs w:val="28"/>
          <w:lang w:val="en-US" w:eastAsia="zh-CN"/>
          <w14:textFill>
            <w14:solidFill>
              <w14:schemeClr w14:val="tx1"/>
            </w14:solidFill>
          </w14:textFill>
        </w:rPr>
        <w:t>七 验收监测结果</w:t>
      </w:r>
      <w:bookmarkEnd w:id="33"/>
      <w:bookmarkEnd w:id="34"/>
      <w:bookmarkEnd w:id="35"/>
      <w:bookmarkEnd w:id="36"/>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C2C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14:paraId="75421B1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验收监测期间生产工况记录：</w:t>
            </w:r>
          </w:p>
          <w:p w14:paraId="0B8C2680">
            <w:pPr>
              <w:pStyle w:val="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验收监测期间，</w:t>
            </w:r>
            <w:r>
              <w:rPr>
                <w:rFonts w:hint="default" w:ascii="Times New Roman" w:hAnsi="Times New Roman" w:cs="Times New Roman"/>
                <w:color w:val="auto"/>
                <w:sz w:val="24"/>
                <w:szCs w:val="24"/>
                <w:lang w:val="en-US" w:eastAsia="zh-CN"/>
              </w:rPr>
              <w:t>生产负荷如下：</w:t>
            </w:r>
          </w:p>
          <w:p w14:paraId="2D105F6B">
            <w:pPr>
              <w:keepNext w:val="0"/>
              <w:keepLines w:val="0"/>
              <w:pageBreakBefore w:val="0"/>
              <w:widowControl w:val="0"/>
              <w:kinsoku/>
              <w:wordWrap/>
              <w:overflowPunct/>
              <w:topLinePunct w:val="0"/>
              <w:bidi w:val="0"/>
              <w:adjustRightInd w:val="0"/>
              <w:snapToGrid w:val="0"/>
              <w:spacing w:line="240" w:lineRule="auto"/>
              <w:ind w:firstLine="422" w:firstLineChars="20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7-1</w:t>
            </w:r>
            <w:r>
              <w:rPr>
                <w:rFonts w:hint="default" w:ascii="Times New Roman" w:hAnsi="Times New Roman" w:cs="Times New Roman"/>
                <w:b/>
                <w:bCs/>
                <w:color w:val="auto"/>
                <w:sz w:val="21"/>
                <w:szCs w:val="21"/>
              </w:rPr>
              <w:t xml:space="preserve"> 监测期间生产负荷情况表</w:t>
            </w:r>
          </w:p>
          <w:tbl>
            <w:tblPr>
              <w:tblStyle w:val="25"/>
              <w:tblW w:w="83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763"/>
              <w:gridCol w:w="1650"/>
              <w:gridCol w:w="1844"/>
              <w:gridCol w:w="1676"/>
            </w:tblGrid>
            <w:tr w14:paraId="497899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70" w:hRule="atLeast"/>
                <w:jc w:val="center"/>
              </w:trPr>
              <w:tc>
                <w:tcPr>
                  <w:tcW w:w="1444" w:type="dxa"/>
                  <w:tcBorders>
                    <w:tl2br w:val="nil"/>
                    <w:tr2bl w:val="nil"/>
                  </w:tcBorders>
                  <w:vAlign w:val="center"/>
                </w:tcPr>
                <w:p w14:paraId="3C49356A">
                  <w:pPr>
                    <w:snapToGrid w:val="0"/>
                    <w:spacing w:line="300" w:lineRule="exact"/>
                    <w:jc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产品</w:t>
                  </w:r>
                </w:p>
              </w:tc>
              <w:tc>
                <w:tcPr>
                  <w:tcW w:w="1763" w:type="dxa"/>
                  <w:tcBorders>
                    <w:tl2br w:val="nil"/>
                    <w:tr2bl w:val="nil"/>
                  </w:tcBorders>
                  <w:vAlign w:val="center"/>
                </w:tcPr>
                <w:p w14:paraId="22D4FBF1">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设计</w:t>
                  </w:r>
                  <w:r>
                    <w:rPr>
                      <w:rFonts w:hint="eastAsia" w:ascii="Times New Roman" w:hAnsi="Times New Roman" w:cs="Times New Roman"/>
                      <w:b/>
                      <w:bCs/>
                      <w:sz w:val="21"/>
                      <w:szCs w:val="21"/>
                      <w:lang w:val="en-US" w:eastAsia="zh-CN"/>
                    </w:rPr>
                    <w:t>产量（t/d）</w:t>
                  </w:r>
                </w:p>
              </w:tc>
              <w:tc>
                <w:tcPr>
                  <w:tcW w:w="1650" w:type="dxa"/>
                  <w:tcBorders>
                    <w:tl2br w:val="nil"/>
                    <w:tr2bl w:val="nil"/>
                  </w:tcBorders>
                  <w:vAlign w:val="center"/>
                </w:tcPr>
                <w:p w14:paraId="1B5A31D5">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1844" w:type="dxa"/>
                  <w:tcBorders>
                    <w:tl2br w:val="nil"/>
                    <w:tr2bl w:val="nil"/>
                  </w:tcBorders>
                  <w:vAlign w:val="center"/>
                </w:tcPr>
                <w:p w14:paraId="51D1F65A">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实际</w:t>
                  </w:r>
                  <w:r>
                    <w:rPr>
                      <w:rFonts w:hint="eastAsia" w:ascii="Times New Roman" w:hAnsi="Times New Roman" w:cs="Times New Roman"/>
                      <w:b/>
                      <w:bCs/>
                      <w:sz w:val="21"/>
                      <w:szCs w:val="21"/>
                      <w:lang w:val="en-US" w:eastAsia="zh-CN"/>
                    </w:rPr>
                    <w:t>产量（t/d）</w:t>
                  </w:r>
                </w:p>
              </w:tc>
              <w:tc>
                <w:tcPr>
                  <w:tcW w:w="1676" w:type="dxa"/>
                  <w:tcBorders>
                    <w:tl2br w:val="nil"/>
                    <w:tr2bl w:val="nil"/>
                  </w:tcBorders>
                  <w:vAlign w:val="center"/>
                </w:tcPr>
                <w:p w14:paraId="5594AC01">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生产负荷（%）</w:t>
                  </w:r>
                </w:p>
              </w:tc>
            </w:tr>
            <w:tr w14:paraId="6472E4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444" w:type="dxa"/>
                  <w:vMerge w:val="restart"/>
                  <w:tcBorders>
                    <w:tl2br w:val="nil"/>
                    <w:tr2bl w:val="nil"/>
                  </w:tcBorders>
                  <w:vAlign w:val="center"/>
                </w:tcPr>
                <w:p w14:paraId="1E57B2DF">
                  <w:pPr>
                    <w:snapToGrid w:val="0"/>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陶瓷原料</w:t>
                  </w:r>
                </w:p>
              </w:tc>
              <w:tc>
                <w:tcPr>
                  <w:tcW w:w="1763" w:type="dxa"/>
                  <w:vMerge w:val="restart"/>
                  <w:tcBorders>
                    <w:tl2br w:val="nil"/>
                    <w:tr2bl w:val="nil"/>
                  </w:tcBorders>
                  <w:vAlign w:val="center"/>
                </w:tcPr>
                <w:p w14:paraId="514C1BFE">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200</w:t>
                  </w:r>
                </w:p>
              </w:tc>
              <w:tc>
                <w:tcPr>
                  <w:tcW w:w="1650" w:type="dxa"/>
                  <w:tcBorders>
                    <w:tl2br w:val="nil"/>
                    <w:tr2bl w:val="nil"/>
                  </w:tcBorders>
                  <w:vAlign w:val="center"/>
                </w:tcPr>
                <w:p w14:paraId="68B8A0D2">
                  <w:pPr>
                    <w:snapToGrid w:val="0"/>
                    <w:spacing w:line="300" w:lineRule="exact"/>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2026.7.2</w:t>
                  </w:r>
                </w:p>
              </w:tc>
              <w:tc>
                <w:tcPr>
                  <w:tcW w:w="1844" w:type="dxa"/>
                  <w:tcBorders>
                    <w:tl2br w:val="nil"/>
                    <w:tr2bl w:val="nil"/>
                  </w:tcBorders>
                  <w:vAlign w:val="center"/>
                </w:tcPr>
                <w:p w14:paraId="78DBDFEA">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170</w:t>
                  </w:r>
                </w:p>
              </w:tc>
              <w:tc>
                <w:tcPr>
                  <w:tcW w:w="1676" w:type="dxa"/>
                  <w:tcBorders>
                    <w:tl2br w:val="nil"/>
                    <w:tr2bl w:val="nil"/>
                  </w:tcBorders>
                  <w:vAlign w:val="center"/>
                </w:tcPr>
                <w:p w14:paraId="6F830F2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85</w:t>
                  </w:r>
                </w:p>
              </w:tc>
            </w:tr>
            <w:tr w14:paraId="5B5AB8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00" w:hRule="atLeast"/>
                <w:jc w:val="center"/>
              </w:trPr>
              <w:tc>
                <w:tcPr>
                  <w:tcW w:w="1444" w:type="dxa"/>
                  <w:vMerge w:val="continue"/>
                  <w:tcBorders>
                    <w:tl2br w:val="nil"/>
                    <w:tr2bl w:val="nil"/>
                  </w:tcBorders>
                  <w:vAlign w:val="center"/>
                </w:tcPr>
                <w:p w14:paraId="1A245C3D">
                  <w:pPr>
                    <w:snapToGrid w:val="0"/>
                    <w:spacing w:line="300" w:lineRule="exact"/>
                    <w:jc w:val="center"/>
                  </w:pPr>
                </w:p>
              </w:tc>
              <w:tc>
                <w:tcPr>
                  <w:tcW w:w="1763" w:type="dxa"/>
                  <w:vMerge w:val="continue"/>
                  <w:tcBorders>
                    <w:tl2br w:val="nil"/>
                    <w:tr2bl w:val="nil"/>
                  </w:tcBorders>
                  <w:vAlign w:val="center"/>
                </w:tcPr>
                <w:p w14:paraId="361B511C">
                  <w:pPr>
                    <w:snapToGrid w:val="0"/>
                    <w:spacing w:line="300" w:lineRule="exact"/>
                    <w:jc w:val="center"/>
                  </w:pPr>
                </w:p>
              </w:tc>
              <w:tc>
                <w:tcPr>
                  <w:tcW w:w="1650" w:type="dxa"/>
                  <w:tcBorders>
                    <w:tl2br w:val="nil"/>
                    <w:tr2bl w:val="nil"/>
                  </w:tcBorders>
                  <w:vAlign w:val="center"/>
                </w:tcPr>
                <w:p w14:paraId="78E1DD96">
                  <w:pPr>
                    <w:snapToGrid w:val="0"/>
                    <w:spacing w:line="300" w:lineRule="exact"/>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2026.7.3</w:t>
                  </w:r>
                </w:p>
              </w:tc>
              <w:tc>
                <w:tcPr>
                  <w:tcW w:w="1844" w:type="dxa"/>
                  <w:tcBorders>
                    <w:tl2br w:val="nil"/>
                    <w:tr2bl w:val="nil"/>
                  </w:tcBorders>
                  <w:shd w:val="clear" w:color="auto" w:fill="auto"/>
                  <w:vAlign w:val="center"/>
                </w:tcPr>
                <w:p w14:paraId="031C67C8">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170</w:t>
                  </w:r>
                </w:p>
              </w:tc>
              <w:tc>
                <w:tcPr>
                  <w:tcW w:w="1676" w:type="dxa"/>
                  <w:tcBorders>
                    <w:tl2br w:val="nil"/>
                    <w:tr2bl w:val="nil"/>
                  </w:tcBorders>
                  <w:shd w:val="clear" w:color="auto" w:fill="auto"/>
                  <w:vAlign w:val="center"/>
                </w:tcPr>
                <w:p w14:paraId="0F8AC5D6">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85</w:t>
                  </w:r>
                </w:p>
              </w:tc>
            </w:tr>
          </w:tbl>
          <w:p w14:paraId="437B4B2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p>
          <w:p w14:paraId="0FAB4C0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表7-2监测期间的气象条件</w:t>
            </w:r>
          </w:p>
          <w:tbl>
            <w:tblPr>
              <w:tblStyle w:val="24"/>
              <w:tblW w:w="8303"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494"/>
              <w:gridCol w:w="1366"/>
              <w:gridCol w:w="1256"/>
              <w:gridCol w:w="1841"/>
              <w:gridCol w:w="1128"/>
              <w:gridCol w:w="1218"/>
            </w:tblGrid>
            <w:tr w14:paraId="6A63E68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18" w:hRule="atLeast"/>
                <w:jc w:val="center"/>
              </w:trPr>
              <w:tc>
                <w:tcPr>
                  <w:tcW w:w="1494" w:type="dxa"/>
                  <w:tcBorders>
                    <w:tl2br w:val="nil"/>
                    <w:tr2bl w:val="nil"/>
                  </w:tcBorders>
                  <w:noWrap w:val="0"/>
                  <w:vAlign w:val="center"/>
                </w:tcPr>
                <w:p w14:paraId="7399766C">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1366" w:type="dxa"/>
                  <w:tcBorders>
                    <w:tl2br w:val="nil"/>
                    <w:tr2bl w:val="nil"/>
                  </w:tcBorders>
                  <w:noWrap w:val="0"/>
                  <w:vAlign w:val="center"/>
                </w:tcPr>
                <w:p w14:paraId="24CFEDA7">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气温</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w:t>
                  </w:r>
                  <w:r>
                    <w:rPr>
                      <w:rFonts w:hint="eastAsia" w:ascii="Times New Roman" w:hAnsi="Times New Roman" w:cs="Times New Roman"/>
                      <w:b/>
                      <w:bCs/>
                      <w:sz w:val="21"/>
                      <w:szCs w:val="21"/>
                      <w:lang w:val="en-US" w:eastAsia="zh-CN"/>
                    </w:rPr>
                    <w:t>）</w:t>
                  </w:r>
                </w:p>
              </w:tc>
              <w:tc>
                <w:tcPr>
                  <w:tcW w:w="1256" w:type="dxa"/>
                  <w:tcBorders>
                    <w:tl2br w:val="nil"/>
                    <w:tr2bl w:val="nil"/>
                  </w:tcBorders>
                  <w:noWrap w:val="0"/>
                  <w:vAlign w:val="center"/>
                </w:tcPr>
                <w:p w14:paraId="43121151">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天气状况</w:t>
                  </w:r>
                </w:p>
              </w:tc>
              <w:tc>
                <w:tcPr>
                  <w:tcW w:w="1841" w:type="dxa"/>
                  <w:tcBorders>
                    <w:tl2br w:val="nil"/>
                    <w:tr2bl w:val="nil"/>
                  </w:tcBorders>
                  <w:noWrap w:val="0"/>
                  <w:vAlign w:val="center"/>
                </w:tcPr>
                <w:p w14:paraId="5BDA2A29">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气压</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kpa</w:t>
                  </w:r>
                  <w:r>
                    <w:rPr>
                      <w:rFonts w:hint="eastAsia" w:ascii="Times New Roman" w:hAnsi="Times New Roman" w:cs="Times New Roman"/>
                      <w:b/>
                      <w:bCs/>
                      <w:sz w:val="21"/>
                      <w:szCs w:val="21"/>
                      <w:lang w:val="en-US" w:eastAsia="zh-CN"/>
                    </w:rPr>
                    <w:t>）</w:t>
                  </w:r>
                </w:p>
              </w:tc>
              <w:tc>
                <w:tcPr>
                  <w:tcW w:w="1128" w:type="dxa"/>
                  <w:tcBorders>
                    <w:tl2br w:val="nil"/>
                    <w:tr2bl w:val="nil"/>
                  </w:tcBorders>
                  <w:noWrap w:val="0"/>
                  <w:vAlign w:val="center"/>
                </w:tcPr>
                <w:p w14:paraId="47484218">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风向</w:t>
                  </w:r>
                </w:p>
              </w:tc>
              <w:tc>
                <w:tcPr>
                  <w:tcW w:w="1218" w:type="dxa"/>
                  <w:tcBorders>
                    <w:tl2br w:val="nil"/>
                    <w:tr2bl w:val="nil"/>
                  </w:tcBorders>
                  <w:noWrap w:val="0"/>
                  <w:vAlign w:val="center"/>
                </w:tcPr>
                <w:p w14:paraId="0EBEC2BF">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风速</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m/s</w:t>
                  </w:r>
                  <w:r>
                    <w:rPr>
                      <w:rFonts w:hint="eastAsia" w:ascii="Times New Roman" w:hAnsi="Times New Roman" w:cs="Times New Roman"/>
                      <w:b/>
                      <w:bCs/>
                      <w:sz w:val="21"/>
                      <w:szCs w:val="21"/>
                      <w:lang w:val="en-US" w:eastAsia="zh-CN"/>
                    </w:rPr>
                    <w:t>）</w:t>
                  </w:r>
                </w:p>
              </w:tc>
            </w:tr>
            <w:tr w14:paraId="2B6F24B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1494" w:type="dxa"/>
                  <w:tcBorders>
                    <w:tl2br w:val="nil"/>
                    <w:tr2bl w:val="nil"/>
                  </w:tcBorders>
                  <w:noWrap w:val="0"/>
                  <w:vAlign w:val="center"/>
                </w:tcPr>
                <w:p w14:paraId="0C39E5A1">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2026.7.2</w:t>
                  </w:r>
                </w:p>
              </w:tc>
              <w:tc>
                <w:tcPr>
                  <w:tcW w:w="1366" w:type="dxa"/>
                  <w:tcBorders>
                    <w:tl2br w:val="nil"/>
                    <w:tr2bl w:val="nil"/>
                  </w:tcBorders>
                  <w:noWrap w:val="0"/>
                  <w:vAlign w:val="center"/>
                </w:tcPr>
                <w:p w14:paraId="43B9BA7F">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25.0～35.9</w:t>
                  </w:r>
                </w:p>
              </w:tc>
              <w:tc>
                <w:tcPr>
                  <w:tcW w:w="1256" w:type="dxa"/>
                  <w:tcBorders>
                    <w:tl2br w:val="nil"/>
                    <w:tr2bl w:val="nil"/>
                  </w:tcBorders>
                  <w:noWrap w:val="0"/>
                  <w:vAlign w:val="center"/>
                </w:tcPr>
                <w:p w14:paraId="51A466D7">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阴</w:t>
                  </w:r>
                </w:p>
              </w:tc>
              <w:tc>
                <w:tcPr>
                  <w:tcW w:w="1841" w:type="dxa"/>
                  <w:tcBorders>
                    <w:tl2br w:val="nil"/>
                    <w:tr2bl w:val="nil"/>
                  </w:tcBorders>
                  <w:shd w:val="clear" w:color="auto" w:fill="auto"/>
                  <w:noWrap w:val="0"/>
                  <w:vAlign w:val="center"/>
                </w:tcPr>
                <w:p w14:paraId="18818D58">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100.01～100.65</w:t>
                  </w:r>
                </w:p>
              </w:tc>
              <w:tc>
                <w:tcPr>
                  <w:tcW w:w="1128" w:type="dxa"/>
                  <w:tcBorders>
                    <w:tl2br w:val="nil"/>
                    <w:tr2bl w:val="nil"/>
                  </w:tcBorders>
                  <w:shd w:val="clear" w:color="auto" w:fill="auto"/>
                  <w:noWrap w:val="0"/>
                  <w:vAlign w:val="center"/>
                </w:tcPr>
                <w:p w14:paraId="36D3A8D0">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东北</w:t>
                  </w:r>
                </w:p>
              </w:tc>
              <w:tc>
                <w:tcPr>
                  <w:tcW w:w="1218" w:type="dxa"/>
                  <w:tcBorders>
                    <w:tl2br w:val="nil"/>
                    <w:tr2bl w:val="nil"/>
                  </w:tcBorders>
                  <w:shd w:val="clear" w:color="auto" w:fill="auto"/>
                  <w:noWrap w:val="0"/>
                  <w:vAlign w:val="center"/>
                </w:tcPr>
                <w:p w14:paraId="3685463D">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2.2～2.6</w:t>
                  </w:r>
                </w:p>
              </w:tc>
            </w:tr>
            <w:tr w14:paraId="7B22FF2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1494" w:type="dxa"/>
                  <w:tcBorders>
                    <w:tl2br w:val="nil"/>
                    <w:tr2bl w:val="nil"/>
                  </w:tcBorders>
                  <w:noWrap w:val="0"/>
                  <w:vAlign w:val="center"/>
                </w:tcPr>
                <w:p w14:paraId="4A7B7CC5">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2026.7.3</w:t>
                  </w:r>
                </w:p>
              </w:tc>
              <w:tc>
                <w:tcPr>
                  <w:tcW w:w="1366" w:type="dxa"/>
                  <w:tcBorders>
                    <w:tl2br w:val="nil"/>
                    <w:tr2bl w:val="nil"/>
                  </w:tcBorders>
                  <w:noWrap w:val="0"/>
                  <w:vAlign w:val="center"/>
                </w:tcPr>
                <w:p w14:paraId="0CBEE1DD">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25.0～36.8</w:t>
                  </w:r>
                </w:p>
              </w:tc>
              <w:tc>
                <w:tcPr>
                  <w:tcW w:w="1256" w:type="dxa"/>
                  <w:tcBorders>
                    <w:tl2br w:val="nil"/>
                    <w:tr2bl w:val="nil"/>
                  </w:tcBorders>
                  <w:noWrap w:val="0"/>
                  <w:vAlign w:val="center"/>
                </w:tcPr>
                <w:p w14:paraId="0E279CD1">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多云</w:t>
                  </w:r>
                </w:p>
              </w:tc>
              <w:tc>
                <w:tcPr>
                  <w:tcW w:w="1841" w:type="dxa"/>
                  <w:tcBorders>
                    <w:tl2br w:val="nil"/>
                    <w:tr2bl w:val="nil"/>
                  </w:tcBorders>
                  <w:noWrap w:val="0"/>
                  <w:vAlign w:val="center"/>
                </w:tcPr>
                <w:p w14:paraId="52B97CF6">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100.32～100.76</w:t>
                  </w:r>
                </w:p>
              </w:tc>
              <w:tc>
                <w:tcPr>
                  <w:tcW w:w="1128" w:type="dxa"/>
                  <w:tcBorders>
                    <w:tl2br w:val="nil"/>
                    <w:tr2bl w:val="nil"/>
                  </w:tcBorders>
                  <w:noWrap w:val="0"/>
                  <w:vAlign w:val="center"/>
                </w:tcPr>
                <w:p w14:paraId="6258D235">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西南</w:t>
                  </w:r>
                </w:p>
              </w:tc>
              <w:tc>
                <w:tcPr>
                  <w:tcW w:w="1218" w:type="dxa"/>
                  <w:tcBorders>
                    <w:tl2br w:val="nil"/>
                    <w:tr2bl w:val="nil"/>
                  </w:tcBorders>
                  <w:noWrap w:val="0"/>
                  <w:vAlign w:val="center"/>
                </w:tcPr>
                <w:p w14:paraId="32E6ED74">
                  <w:pPr>
                    <w:snapToGrid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2.3～2.8</w:t>
                  </w:r>
                </w:p>
              </w:tc>
            </w:tr>
          </w:tbl>
          <w:p w14:paraId="41368B50">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eastAsia="zh-CN"/>
              </w:rPr>
              <w:t>）废气监测结果</w:t>
            </w:r>
          </w:p>
          <w:p w14:paraId="29A148B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w:t>
            </w:r>
            <w:r>
              <w:rPr>
                <w:rFonts w:hint="eastAsia" w:ascii="Times New Roman" w:hAnsi="Times New Roman" w:cs="Times New Roman"/>
                <w:b/>
                <w:color w:val="000000" w:themeColor="text1"/>
                <w:sz w:val="21"/>
                <w:szCs w:val="21"/>
                <w:lang w:val="en-US" w:eastAsia="zh-CN"/>
                <w14:textFill>
                  <w14:solidFill>
                    <w14:schemeClr w14:val="tx1"/>
                  </w14:solidFill>
                </w14:textFill>
              </w:rPr>
              <w:t>3</w:t>
            </w:r>
            <w:r>
              <w:rPr>
                <w:rFonts w:hint="default" w:ascii="Times New Roman" w:hAnsi="Times New Roman" w:cs="Times New Roman"/>
                <w:b/>
                <w:color w:val="000000" w:themeColor="text1"/>
                <w:sz w:val="21"/>
                <w:szCs w:val="21"/>
                <w:lang w:val="en-US" w:eastAsia="zh-CN"/>
                <w14:textFill>
                  <w14:solidFill>
                    <w14:schemeClr w14:val="tx1"/>
                  </w14:solidFill>
                </w14:textFill>
              </w:rPr>
              <w:t xml:space="preserve"> </w:t>
            </w:r>
            <w:r>
              <w:rPr>
                <w:rFonts w:hint="eastAsia" w:ascii="Times New Roman" w:hAnsi="Times New Roman" w:cs="Times New Roman"/>
                <w:b/>
                <w:color w:val="000000" w:themeColor="text1"/>
                <w:sz w:val="21"/>
                <w:szCs w:val="21"/>
                <w:lang w:val="en-US" w:eastAsia="zh-CN"/>
                <w14:textFill>
                  <w14:solidFill>
                    <w14:schemeClr w14:val="tx1"/>
                  </w14:solidFill>
                </w14:textFill>
              </w:rPr>
              <w:t>有组织废气</w:t>
            </w:r>
            <w:r>
              <w:rPr>
                <w:rFonts w:hint="default" w:ascii="Times New Roman" w:hAnsi="Times New Roman" w:cs="Times New Roman"/>
                <w:b/>
                <w:color w:val="000000" w:themeColor="text1"/>
                <w:sz w:val="21"/>
                <w:szCs w:val="21"/>
                <w:lang w:val="en-US" w:eastAsia="zh-CN"/>
                <w14:textFill>
                  <w14:solidFill>
                    <w14:schemeClr w14:val="tx1"/>
                  </w14:solidFill>
                </w14:textFill>
              </w:rPr>
              <w:t>监测结果</w:t>
            </w:r>
          </w:p>
          <w:tbl>
            <w:tblPr>
              <w:tblStyle w:val="24"/>
              <w:tblW w:w="835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3"/>
              <w:gridCol w:w="425"/>
              <w:gridCol w:w="717"/>
              <w:gridCol w:w="340"/>
              <w:gridCol w:w="833"/>
              <w:gridCol w:w="668"/>
              <w:gridCol w:w="818"/>
              <w:gridCol w:w="860"/>
              <w:gridCol w:w="722"/>
              <w:gridCol w:w="873"/>
              <w:gridCol w:w="736"/>
              <w:gridCol w:w="689"/>
            </w:tblGrid>
            <w:tr w14:paraId="2F5320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73" w:type="dxa"/>
                  <w:tcBorders>
                    <w:tl2br w:val="nil"/>
                    <w:tr2bl w:val="nil"/>
                  </w:tcBorders>
                  <w:noWrap w:val="0"/>
                  <w:vAlign w:val="center"/>
                </w:tcPr>
                <w:p w14:paraId="7BCD3D1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64769F2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点位</w:t>
                  </w:r>
                </w:p>
              </w:tc>
              <w:tc>
                <w:tcPr>
                  <w:tcW w:w="425" w:type="dxa"/>
                  <w:tcBorders>
                    <w:tl2br w:val="nil"/>
                    <w:tr2bl w:val="nil"/>
                  </w:tcBorders>
                  <w:noWrap w:val="0"/>
                  <w:vAlign w:val="center"/>
                </w:tcPr>
                <w:p w14:paraId="7F6D01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29CCF7F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因子</w:t>
                  </w:r>
                </w:p>
              </w:tc>
              <w:tc>
                <w:tcPr>
                  <w:tcW w:w="1057" w:type="dxa"/>
                  <w:gridSpan w:val="2"/>
                  <w:tcBorders>
                    <w:tl2br w:val="nil"/>
                    <w:tr2bl w:val="nil"/>
                  </w:tcBorders>
                  <w:noWrap w:val="0"/>
                  <w:vAlign w:val="center"/>
                </w:tcPr>
                <w:p w14:paraId="1A50A8A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w:t>
                  </w:r>
                </w:p>
                <w:p w14:paraId="7DD6D20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时间</w:t>
                  </w:r>
                </w:p>
              </w:tc>
              <w:tc>
                <w:tcPr>
                  <w:tcW w:w="833" w:type="dxa"/>
                  <w:tcBorders>
                    <w:tl2br w:val="nil"/>
                    <w:tr2bl w:val="nil"/>
                  </w:tcBorders>
                  <w:noWrap w:val="0"/>
                  <w:vAlign w:val="center"/>
                </w:tcPr>
                <w:p w14:paraId="05753AC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rPr>
                    <w:t>烟气量Nm</w:t>
                  </w:r>
                  <w:r>
                    <w:rPr>
                      <w:rFonts w:hint="default" w:ascii="Times New Roman" w:hAnsi="Times New Roman" w:cs="Times New Roman"/>
                      <w:b/>
                      <w:bCs/>
                      <w:sz w:val="21"/>
                      <w:szCs w:val="21"/>
                      <w:vertAlign w:val="superscript"/>
                    </w:rPr>
                    <w:t>3</w:t>
                  </w:r>
                  <w:r>
                    <w:rPr>
                      <w:rFonts w:hint="default" w:ascii="Times New Roman" w:hAnsi="Times New Roman" w:cs="Times New Roman"/>
                      <w:b/>
                      <w:bCs/>
                      <w:sz w:val="21"/>
                      <w:szCs w:val="21"/>
                    </w:rPr>
                    <w:t>/h</w:t>
                  </w:r>
                </w:p>
              </w:tc>
              <w:tc>
                <w:tcPr>
                  <w:tcW w:w="668" w:type="dxa"/>
                  <w:tcBorders>
                    <w:tl2br w:val="nil"/>
                    <w:tr2bl w:val="nil"/>
                  </w:tcBorders>
                  <w:noWrap w:val="0"/>
                  <w:vAlign w:val="center"/>
                </w:tcPr>
                <w:p w14:paraId="6B34C2E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烟温</w:t>
                  </w:r>
                </w:p>
                <w:p w14:paraId="357215F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w:t>
                  </w:r>
                </w:p>
              </w:tc>
              <w:tc>
                <w:tcPr>
                  <w:tcW w:w="818" w:type="dxa"/>
                  <w:tcBorders>
                    <w:tl2br w:val="nil"/>
                    <w:tr2bl w:val="nil"/>
                  </w:tcBorders>
                  <w:noWrap w:val="0"/>
                  <w:vAlign w:val="center"/>
                </w:tcPr>
                <w:p w14:paraId="4C9D799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实测</w:t>
                  </w:r>
                </w:p>
                <w:p w14:paraId="5014CB0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浓度mg/m</w:t>
                  </w:r>
                  <w:r>
                    <w:rPr>
                      <w:rFonts w:hint="default" w:ascii="Times New Roman" w:hAnsi="Times New Roman" w:cs="Times New Roman"/>
                      <w:b/>
                      <w:bCs/>
                      <w:sz w:val="21"/>
                      <w:szCs w:val="21"/>
                      <w:vertAlign w:val="superscript"/>
                    </w:rPr>
                    <w:t>3</w:t>
                  </w:r>
                </w:p>
              </w:tc>
              <w:tc>
                <w:tcPr>
                  <w:tcW w:w="860" w:type="dxa"/>
                  <w:tcBorders>
                    <w:tl2br w:val="nil"/>
                    <w:tr2bl w:val="nil"/>
                  </w:tcBorders>
                  <w:noWrap w:val="0"/>
                  <w:vAlign w:val="center"/>
                </w:tcPr>
                <w:p w14:paraId="731E2CE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eastAsia="zh-CN"/>
                    </w:rPr>
                  </w:pPr>
                  <w:r>
                    <w:rPr>
                      <w:rFonts w:hint="default" w:ascii="Times New Roman" w:hAnsi="Times New Roman" w:cs="Times New Roman"/>
                      <w:b/>
                      <w:bCs/>
                      <w:sz w:val="21"/>
                      <w:szCs w:val="21"/>
                      <w:lang w:eastAsia="zh-CN"/>
                    </w:rPr>
                    <w:t>折算</w:t>
                  </w:r>
                </w:p>
                <w:p w14:paraId="1C23FBE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浓度mg/m</w:t>
                  </w:r>
                  <w:r>
                    <w:rPr>
                      <w:rFonts w:hint="default" w:ascii="Times New Roman" w:hAnsi="Times New Roman" w:cs="Times New Roman"/>
                      <w:b/>
                      <w:bCs/>
                      <w:sz w:val="21"/>
                      <w:szCs w:val="21"/>
                      <w:vertAlign w:val="superscript"/>
                    </w:rPr>
                    <w:t>3</w:t>
                  </w:r>
                </w:p>
              </w:tc>
              <w:tc>
                <w:tcPr>
                  <w:tcW w:w="722" w:type="dxa"/>
                  <w:tcBorders>
                    <w:tl2br w:val="nil"/>
                    <w:tr2bl w:val="nil"/>
                  </w:tcBorders>
                  <w:noWrap w:val="0"/>
                  <w:vAlign w:val="center"/>
                </w:tcPr>
                <w:p w14:paraId="19994CE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排放</w:t>
                  </w:r>
                </w:p>
                <w:p w14:paraId="7345EC5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rPr>
                  </w:pPr>
                  <w:r>
                    <w:rPr>
                      <w:rFonts w:hint="default" w:ascii="Times New Roman" w:hAnsi="Times New Roman" w:cs="Times New Roman"/>
                      <w:b/>
                      <w:bCs/>
                      <w:sz w:val="21"/>
                      <w:szCs w:val="21"/>
                    </w:rPr>
                    <w:t>速率kg/h</w:t>
                  </w:r>
                </w:p>
              </w:tc>
              <w:tc>
                <w:tcPr>
                  <w:tcW w:w="873" w:type="dxa"/>
                  <w:tcBorders>
                    <w:tl2br w:val="nil"/>
                    <w:tr2bl w:val="nil"/>
                  </w:tcBorders>
                  <w:noWrap w:val="0"/>
                  <w:vAlign w:val="center"/>
                </w:tcPr>
                <w:p w14:paraId="3C977CD3">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浓度限值</w:t>
                  </w:r>
                  <w:r>
                    <w:rPr>
                      <w:rFonts w:hint="default" w:ascii="Times New Roman" w:hAnsi="Times New Roman" w:cs="Times New Roman"/>
                      <w:b/>
                      <w:bCs/>
                      <w:sz w:val="21"/>
                      <w:szCs w:val="21"/>
                    </w:rPr>
                    <w:t>mg/m</w:t>
                  </w:r>
                  <w:r>
                    <w:rPr>
                      <w:rFonts w:hint="default" w:ascii="Times New Roman" w:hAnsi="Times New Roman" w:cs="Times New Roman"/>
                      <w:b/>
                      <w:bCs/>
                      <w:sz w:val="21"/>
                      <w:szCs w:val="21"/>
                      <w:vertAlign w:val="superscript"/>
                    </w:rPr>
                    <w:t>3</w:t>
                  </w:r>
                </w:p>
              </w:tc>
              <w:tc>
                <w:tcPr>
                  <w:tcW w:w="736" w:type="dxa"/>
                  <w:tcBorders>
                    <w:tl2br w:val="nil"/>
                    <w:tr2bl w:val="nil"/>
                  </w:tcBorders>
                  <w:noWrap w:val="0"/>
                  <w:vAlign w:val="center"/>
                </w:tcPr>
                <w:p w14:paraId="2ED609E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速率限值kg/h</w:t>
                  </w:r>
                </w:p>
              </w:tc>
              <w:tc>
                <w:tcPr>
                  <w:tcW w:w="689" w:type="dxa"/>
                  <w:tcBorders>
                    <w:tl2br w:val="nil"/>
                    <w:tr2bl w:val="nil"/>
                  </w:tcBorders>
                  <w:noWrap w:val="0"/>
                  <w:vAlign w:val="center"/>
                </w:tcPr>
                <w:p w14:paraId="07B1D74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sz w:val="21"/>
                      <w:szCs w:val="21"/>
                      <w:lang w:eastAsia="zh-CN"/>
                    </w:rPr>
                  </w:pPr>
                  <w:r>
                    <w:rPr>
                      <w:rFonts w:hint="eastAsia" w:ascii="Times New Roman" w:hAnsi="Times New Roman" w:cs="Times New Roman"/>
                      <w:b/>
                      <w:bCs/>
                      <w:sz w:val="21"/>
                      <w:szCs w:val="21"/>
                      <w:lang w:val="en-US" w:eastAsia="zh-CN"/>
                    </w:rPr>
                    <w:t>评价</w:t>
                  </w:r>
                </w:p>
              </w:tc>
            </w:tr>
            <w:tr w14:paraId="23B2E8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673" w:type="dxa"/>
                  <w:vMerge w:val="restart"/>
                  <w:tcBorders>
                    <w:tl2br w:val="nil"/>
                    <w:tr2bl w:val="nil"/>
                  </w:tcBorders>
                  <w:noWrap w:val="0"/>
                  <w:vAlign w:val="center"/>
                </w:tcPr>
                <w:p w14:paraId="3A46A1A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eastAsia"/>
                      <w:lang w:val="en-US" w:eastAsia="zh-CN"/>
                    </w:rPr>
                    <w:t>投料、混合粉尘排口</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1</w:t>
                  </w:r>
                </w:p>
              </w:tc>
              <w:tc>
                <w:tcPr>
                  <w:tcW w:w="425" w:type="dxa"/>
                  <w:vMerge w:val="restart"/>
                  <w:tcBorders>
                    <w:tl2br w:val="nil"/>
                    <w:tr2bl w:val="nil"/>
                  </w:tcBorders>
                  <w:noWrap w:val="0"/>
                  <w:vAlign w:val="center"/>
                </w:tcPr>
                <w:p w14:paraId="679E291E">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颗粒物</w:t>
                  </w:r>
                </w:p>
              </w:tc>
              <w:tc>
                <w:tcPr>
                  <w:tcW w:w="717" w:type="dxa"/>
                  <w:vMerge w:val="restart"/>
                  <w:tcBorders>
                    <w:tl2br w:val="nil"/>
                    <w:tr2bl w:val="nil"/>
                  </w:tcBorders>
                  <w:noWrap w:val="0"/>
                  <w:vAlign w:val="center"/>
                </w:tcPr>
                <w:p w14:paraId="72E78D2D">
                  <w:pPr>
                    <w:keepNext w:val="0"/>
                    <w:keepLines w:val="0"/>
                    <w:suppressLineNumbers w:val="0"/>
                    <w:snapToGrid w:val="0"/>
                    <w:spacing w:before="0" w:beforeAutospacing="0" w:after="0" w:afterAutospacing="0" w:line="300" w:lineRule="exact"/>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2026.7.2</w:t>
                  </w:r>
                </w:p>
              </w:tc>
              <w:tc>
                <w:tcPr>
                  <w:tcW w:w="340" w:type="dxa"/>
                  <w:tcBorders>
                    <w:tl2br w:val="nil"/>
                    <w:tr2bl w:val="nil"/>
                  </w:tcBorders>
                  <w:noWrap w:val="0"/>
                  <w:vAlign w:val="center"/>
                </w:tcPr>
                <w:p w14:paraId="30BBCA3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fldChar w:fldCharType="begin"/>
                  </w:r>
                  <w:r>
                    <w:rPr>
                      <w:rFonts w:hint="default" w:ascii="Times New Roman" w:hAnsi="Times New Roman" w:cs="Times New Roman"/>
                      <w:sz w:val="21"/>
                      <w:szCs w:val="21"/>
                      <w:lang w:val="en-US" w:eastAsia="zh-CN"/>
                    </w:rPr>
                    <w:instrText xml:space="preserve"> = 1 \* GB3 \* MERGEFORMAT </w:instrText>
                  </w:r>
                  <w:r>
                    <w:rPr>
                      <w:rFonts w:hint="default" w:ascii="Times New Roman" w:hAnsi="Times New Roman" w:cs="Times New Roman"/>
                      <w:sz w:val="21"/>
                      <w:szCs w:val="21"/>
                      <w:lang w:val="en-US" w:eastAsia="zh-CN"/>
                    </w:rPr>
                    <w:fldChar w:fldCharType="separate"/>
                  </w:r>
                  <w:r>
                    <w:rPr>
                      <w:rFonts w:hint="default" w:ascii="Times New Roman" w:hAnsi="Times New Roman" w:cs="Times New Roman"/>
                      <w:sz w:val="21"/>
                      <w:szCs w:val="21"/>
                      <w:lang w:val="en-US" w:eastAsia="zh-CN"/>
                    </w:rPr>
                    <w:t>①</w:t>
                  </w:r>
                  <w:r>
                    <w:rPr>
                      <w:rFonts w:hint="default" w:ascii="Times New Roman" w:hAnsi="Times New Roman" w:cs="Times New Roman"/>
                      <w:sz w:val="21"/>
                      <w:szCs w:val="21"/>
                      <w:lang w:val="en-US" w:eastAsia="zh-CN"/>
                    </w:rPr>
                    <w:fldChar w:fldCharType="end"/>
                  </w:r>
                </w:p>
              </w:tc>
              <w:tc>
                <w:tcPr>
                  <w:tcW w:w="833" w:type="dxa"/>
                  <w:tcBorders>
                    <w:tl2br w:val="nil"/>
                    <w:tr2bl w:val="nil"/>
                  </w:tcBorders>
                  <w:noWrap w:val="0"/>
                  <w:vAlign w:val="center"/>
                </w:tcPr>
                <w:p w14:paraId="5020C4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742</w:t>
                  </w:r>
                </w:p>
              </w:tc>
              <w:tc>
                <w:tcPr>
                  <w:tcW w:w="668" w:type="dxa"/>
                  <w:tcBorders>
                    <w:tl2br w:val="nil"/>
                    <w:tr2bl w:val="nil"/>
                  </w:tcBorders>
                  <w:noWrap w:val="0"/>
                  <w:vAlign w:val="center"/>
                </w:tcPr>
                <w:p w14:paraId="45CB09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36.6</w:t>
                  </w:r>
                </w:p>
              </w:tc>
              <w:tc>
                <w:tcPr>
                  <w:tcW w:w="818" w:type="dxa"/>
                  <w:tcBorders>
                    <w:tl2br w:val="nil"/>
                    <w:tr2bl w:val="nil"/>
                  </w:tcBorders>
                  <w:shd w:val="clear" w:color="auto" w:fill="auto"/>
                  <w:noWrap w:val="0"/>
                  <w:vAlign w:val="center"/>
                </w:tcPr>
                <w:p w14:paraId="0EF2FB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25.3</w:t>
                  </w:r>
                </w:p>
              </w:tc>
              <w:tc>
                <w:tcPr>
                  <w:tcW w:w="860" w:type="dxa"/>
                  <w:tcBorders>
                    <w:tl2br w:val="nil"/>
                    <w:tr2bl w:val="nil"/>
                  </w:tcBorders>
                  <w:shd w:val="clear" w:color="auto" w:fill="auto"/>
                  <w:noWrap w:val="0"/>
                  <w:vAlign w:val="center"/>
                </w:tcPr>
                <w:p w14:paraId="26562C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25.3</w:t>
                  </w:r>
                </w:p>
              </w:tc>
              <w:tc>
                <w:tcPr>
                  <w:tcW w:w="722" w:type="dxa"/>
                  <w:tcBorders>
                    <w:tl2br w:val="nil"/>
                    <w:tr2bl w:val="nil"/>
                  </w:tcBorders>
                  <w:shd w:val="clear" w:color="auto" w:fill="auto"/>
                  <w:noWrap w:val="0"/>
                  <w:vAlign w:val="center"/>
                </w:tcPr>
                <w:p w14:paraId="1B72E2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0.019</w:t>
                  </w:r>
                </w:p>
              </w:tc>
              <w:tc>
                <w:tcPr>
                  <w:tcW w:w="873" w:type="dxa"/>
                  <w:vMerge w:val="restart"/>
                  <w:tcBorders>
                    <w:tl2br w:val="nil"/>
                    <w:tr2bl w:val="nil"/>
                  </w:tcBorders>
                  <w:noWrap w:val="0"/>
                  <w:vAlign w:val="center"/>
                </w:tcPr>
                <w:p w14:paraId="025075C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120</w:t>
                  </w:r>
                </w:p>
              </w:tc>
              <w:tc>
                <w:tcPr>
                  <w:tcW w:w="736" w:type="dxa"/>
                  <w:vMerge w:val="restart"/>
                  <w:tcBorders>
                    <w:tl2br w:val="nil"/>
                    <w:tr2bl w:val="nil"/>
                  </w:tcBorders>
                  <w:noWrap w:val="0"/>
                  <w:vAlign w:val="center"/>
                </w:tcPr>
                <w:p w14:paraId="2505013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3.5</w:t>
                  </w:r>
                </w:p>
              </w:tc>
              <w:tc>
                <w:tcPr>
                  <w:tcW w:w="689" w:type="dxa"/>
                  <w:tcBorders>
                    <w:tl2br w:val="nil"/>
                    <w:tr2bl w:val="nil"/>
                  </w:tcBorders>
                  <w:noWrap w:val="0"/>
                  <w:vAlign w:val="center"/>
                </w:tcPr>
                <w:p w14:paraId="2021D1B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eastAsiaTheme="majorEastAsia"/>
                      <w:sz w:val="21"/>
                      <w:szCs w:val="21"/>
                      <w:lang w:val="en-US" w:eastAsia="zh-CN"/>
                    </w:rPr>
                    <w:t>达标</w:t>
                  </w:r>
                </w:p>
              </w:tc>
            </w:tr>
            <w:tr w14:paraId="4EC517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673" w:type="dxa"/>
                  <w:vMerge w:val="continue"/>
                  <w:tcBorders>
                    <w:tl2br w:val="nil"/>
                    <w:tr2bl w:val="nil"/>
                  </w:tcBorders>
                  <w:noWrap w:val="0"/>
                  <w:vAlign w:val="center"/>
                </w:tcPr>
                <w:p w14:paraId="663D566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425" w:type="dxa"/>
                  <w:vMerge w:val="continue"/>
                  <w:tcBorders>
                    <w:tl2br w:val="nil"/>
                    <w:tr2bl w:val="nil"/>
                  </w:tcBorders>
                  <w:noWrap w:val="0"/>
                  <w:vAlign w:val="center"/>
                </w:tcPr>
                <w:p w14:paraId="57BF2CB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717" w:type="dxa"/>
                  <w:vMerge w:val="continue"/>
                  <w:tcBorders>
                    <w:tl2br w:val="nil"/>
                    <w:tr2bl w:val="nil"/>
                  </w:tcBorders>
                  <w:noWrap w:val="0"/>
                  <w:vAlign w:val="center"/>
                </w:tcPr>
                <w:p w14:paraId="6A95E9C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340" w:type="dxa"/>
                  <w:tcBorders>
                    <w:tl2br w:val="nil"/>
                    <w:tr2bl w:val="nil"/>
                  </w:tcBorders>
                  <w:noWrap w:val="0"/>
                  <w:vAlign w:val="center"/>
                </w:tcPr>
                <w:p w14:paraId="0F84D41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fldChar w:fldCharType="begin"/>
                  </w:r>
                  <w:r>
                    <w:rPr>
                      <w:rFonts w:hint="default" w:ascii="Times New Roman" w:hAnsi="Times New Roman" w:cs="Times New Roman"/>
                      <w:sz w:val="21"/>
                      <w:szCs w:val="21"/>
                      <w:lang w:val="en-US" w:eastAsia="zh-CN"/>
                    </w:rPr>
                    <w:instrText xml:space="preserve"> = 2 \* GB3 \* MERGEFORMAT </w:instrText>
                  </w:r>
                  <w:r>
                    <w:rPr>
                      <w:rFonts w:hint="default" w:ascii="Times New Roman" w:hAnsi="Times New Roman" w:cs="Times New Roman"/>
                      <w:sz w:val="21"/>
                      <w:szCs w:val="21"/>
                      <w:lang w:val="en-US" w:eastAsia="zh-CN"/>
                    </w:rPr>
                    <w:fldChar w:fldCharType="separate"/>
                  </w:r>
                  <w:r>
                    <w:rPr>
                      <w:rFonts w:hint="default" w:ascii="Times New Roman" w:hAnsi="Times New Roman" w:cs="Times New Roman"/>
                      <w:sz w:val="21"/>
                      <w:szCs w:val="21"/>
                      <w:lang w:val="en-US" w:eastAsia="zh-CN"/>
                    </w:rPr>
                    <w:t>②</w:t>
                  </w:r>
                  <w:r>
                    <w:rPr>
                      <w:rFonts w:hint="default" w:ascii="Times New Roman" w:hAnsi="Times New Roman" w:cs="Times New Roman"/>
                      <w:sz w:val="21"/>
                      <w:szCs w:val="21"/>
                      <w:lang w:val="en-US" w:eastAsia="zh-CN"/>
                    </w:rPr>
                    <w:fldChar w:fldCharType="end"/>
                  </w:r>
                </w:p>
              </w:tc>
              <w:tc>
                <w:tcPr>
                  <w:tcW w:w="833" w:type="dxa"/>
                  <w:tcBorders>
                    <w:tl2br w:val="nil"/>
                    <w:tr2bl w:val="nil"/>
                  </w:tcBorders>
                  <w:noWrap w:val="0"/>
                  <w:vAlign w:val="center"/>
                </w:tcPr>
                <w:p w14:paraId="1F78D1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733</w:t>
                  </w:r>
                </w:p>
              </w:tc>
              <w:tc>
                <w:tcPr>
                  <w:tcW w:w="668" w:type="dxa"/>
                  <w:tcBorders>
                    <w:tl2br w:val="nil"/>
                    <w:tr2bl w:val="nil"/>
                  </w:tcBorders>
                  <w:noWrap w:val="0"/>
                  <w:vAlign w:val="center"/>
                </w:tcPr>
                <w:p w14:paraId="6DC372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36.6</w:t>
                  </w:r>
                </w:p>
              </w:tc>
              <w:tc>
                <w:tcPr>
                  <w:tcW w:w="818" w:type="dxa"/>
                  <w:tcBorders>
                    <w:tl2br w:val="nil"/>
                    <w:tr2bl w:val="nil"/>
                  </w:tcBorders>
                  <w:shd w:val="clear" w:color="auto" w:fill="auto"/>
                  <w:noWrap w:val="0"/>
                  <w:vAlign w:val="center"/>
                </w:tcPr>
                <w:p w14:paraId="187CCA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23.6</w:t>
                  </w:r>
                </w:p>
              </w:tc>
              <w:tc>
                <w:tcPr>
                  <w:tcW w:w="860" w:type="dxa"/>
                  <w:tcBorders>
                    <w:tl2br w:val="nil"/>
                    <w:tr2bl w:val="nil"/>
                  </w:tcBorders>
                  <w:shd w:val="clear" w:color="auto" w:fill="auto"/>
                  <w:noWrap w:val="0"/>
                  <w:vAlign w:val="center"/>
                </w:tcPr>
                <w:p w14:paraId="62A6A4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23.6</w:t>
                  </w:r>
                </w:p>
              </w:tc>
              <w:tc>
                <w:tcPr>
                  <w:tcW w:w="722" w:type="dxa"/>
                  <w:tcBorders>
                    <w:tl2br w:val="nil"/>
                    <w:tr2bl w:val="nil"/>
                  </w:tcBorders>
                  <w:shd w:val="clear" w:color="auto" w:fill="auto"/>
                  <w:noWrap w:val="0"/>
                  <w:vAlign w:val="center"/>
                </w:tcPr>
                <w:p w14:paraId="5A7320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0.017</w:t>
                  </w:r>
                </w:p>
              </w:tc>
              <w:tc>
                <w:tcPr>
                  <w:tcW w:w="873" w:type="dxa"/>
                  <w:vMerge w:val="continue"/>
                  <w:tcBorders>
                    <w:tl2br w:val="nil"/>
                    <w:tr2bl w:val="nil"/>
                  </w:tcBorders>
                  <w:noWrap w:val="0"/>
                  <w:vAlign w:val="center"/>
                </w:tcPr>
                <w:p w14:paraId="4F8A048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736" w:type="dxa"/>
                  <w:vMerge w:val="continue"/>
                  <w:tcBorders>
                    <w:tl2br w:val="nil"/>
                    <w:tr2bl w:val="nil"/>
                  </w:tcBorders>
                  <w:noWrap w:val="0"/>
                  <w:vAlign w:val="center"/>
                </w:tcPr>
                <w:p w14:paraId="203F22D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689" w:type="dxa"/>
                  <w:tcBorders>
                    <w:tl2br w:val="nil"/>
                    <w:tr2bl w:val="nil"/>
                  </w:tcBorders>
                  <w:noWrap w:val="0"/>
                  <w:vAlign w:val="center"/>
                </w:tcPr>
                <w:p w14:paraId="75826C4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91D0A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673" w:type="dxa"/>
                  <w:vMerge w:val="continue"/>
                  <w:tcBorders>
                    <w:tl2br w:val="nil"/>
                    <w:tr2bl w:val="nil"/>
                  </w:tcBorders>
                  <w:noWrap w:val="0"/>
                  <w:vAlign w:val="center"/>
                </w:tcPr>
                <w:p w14:paraId="125F007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25" w:type="dxa"/>
                  <w:vMerge w:val="continue"/>
                  <w:tcBorders>
                    <w:tl2br w:val="nil"/>
                    <w:tr2bl w:val="nil"/>
                  </w:tcBorders>
                  <w:noWrap w:val="0"/>
                  <w:vAlign w:val="center"/>
                </w:tcPr>
                <w:p w14:paraId="24EF81A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17" w:type="dxa"/>
                  <w:vMerge w:val="continue"/>
                  <w:tcBorders>
                    <w:tl2br w:val="nil"/>
                    <w:tr2bl w:val="nil"/>
                  </w:tcBorders>
                  <w:noWrap w:val="0"/>
                  <w:vAlign w:val="center"/>
                </w:tcPr>
                <w:p w14:paraId="1140BB7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p>
              </w:tc>
              <w:tc>
                <w:tcPr>
                  <w:tcW w:w="340" w:type="dxa"/>
                  <w:tcBorders>
                    <w:tl2br w:val="nil"/>
                    <w:tr2bl w:val="nil"/>
                  </w:tcBorders>
                  <w:noWrap w:val="0"/>
                  <w:vAlign w:val="center"/>
                </w:tcPr>
                <w:p w14:paraId="5BACEC4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fldChar w:fldCharType="begin"/>
                  </w:r>
                  <w:r>
                    <w:rPr>
                      <w:rFonts w:hint="default" w:ascii="Times New Roman" w:hAnsi="Times New Roman" w:cs="Times New Roman"/>
                      <w:sz w:val="21"/>
                      <w:szCs w:val="21"/>
                      <w:lang w:val="en-US" w:eastAsia="zh-CN"/>
                    </w:rPr>
                    <w:instrText xml:space="preserve"> = 3 \* GB3 \* MERGEFORMAT </w:instrText>
                  </w:r>
                  <w:r>
                    <w:rPr>
                      <w:rFonts w:hint="default" w:ascii="Times New Roman" w:hAnsi="Times New Roman" w:cs="Times New Roman"/>
                      <w:sz w:val="21"/>
                      <w:szCs w:val="21"/>
                      <w:lang w:val="en-US" w:eastAsia="zh-CN"/>
                    </w:rPr>
                    <w:fldChar w:fldCharType="separate"/>
                  </w:r>
                  <w:r>
                    <w:rPr>
                      <w:rFonts w:hint="default" w:ascii="Times New Roman" w:hAnsi="Times New Roman" w:cs="Times New Roman"/>
                      <w:sz w:val="21"/>
                      <w:szCs w:val="21"/>
                      <w:lang w:val="en-US" w:eastAsia="zh-CN"/>
                    </w:rPr>
                    <w:t>③</w:t>
                  </w:r>
                  <w:r>
                    <w:rPr>
                      <w:rFonts w:hint="default" w:ascii="Times New Roman" w:hAnsi="Times New Roman" w:cs="Times New Roman"/>
                      <w:sz w:val="21"/>
                      <w:szCs w:val="21"/>
                      <w:lang w:val="en-US" w:eastAsia="zh-CN"/>
                    </w:rPr>
                    <w:fldChar w:fldCharType="end"/>
                  </w:r>
                </w:p>
              </w:tc>
              <w:tc>
                <w:tcPr>
                  <w:tcW w:w="833" w:type="dxa"/>
                  <w:tcBorders>
                    <w:tl2br w:val="nil"/>
                    <w:tr2bl w:val="nil"/>
                  </w:tcBorders>
                  <w:noWrap w:val="0"/>
                  <w:vAlign w:val="center"/>
                </w:tcPr>
                <w:p w14:paraId="12DF81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746</w:t>
                  </w:r>
                </w:p>
              </w:tc>
              <w:tc>
                <w:tcPr>
                  <w:tcW w:w="668" w:type="dxa"/>
                  <w:tcBorders>
                    <w:tl2br w:val="nil"/>
                    <w:tr2bl w:val="nil"/>
                  </w:tcBorders>
                  <w:noWrap w:val="0"/>
                  <w:vAlign w:val="center"/>
                </w:tcPr>
                <w:p w14:paraId="27326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36.8</w:t>
                  </w:r>
                </w:p>
              </w:tc>
              <w:tc>
                <w:tcPr>
                  <w:tcW w:w="818" w:type="dxa"/>
                  <w:tcBorders>
                    <w:tl2br w:val="nil"/>
                    <w:tr2bl w:val="nil"/>
                  </w:tcBorders>
                  <w:shd w:val="clear" w:color="auto" w:fill="auto"/>
                  <w:noWrap w:val="0"/>
                  <w:vAlign w:val="center"/>
                </w:tcPr>
                <w:p w14:paraId="176A2E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26.1</w:t>
                  </w:r>
                </w:p>
              </w:tc>
              <w:tc>
                <w:tcPr>
                  <w:tcW w:w="860" w:type="dxa"/>
                  <w:tcBorders>
                    <w:tl2br w:val="nil"/>
                    <w:tr2bl w:val="nil"/>
                  </w:tcBorders>
                  <w:shd w:val="clear" w:color="auto" w:fill="auto"/>
                  <w:noWrap w:val="0"/>
                  <w:vAlign w:val="center"/>
                </w:tcPr>
                <w:p w14:paraId="1AC349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26.1</w:t>
                  </w:r>
                </w:p>
              </w:tc>
              <w:tc>
                <w:tcPr>
                  <w:tcW w:w="722" w:type="dxa"/>
                  <w:tcBorders>
                    <w:tl2br w:val="nil"/>
                    <w:tr2bl w:val="nil"/>
                  </w:tcBorders>
                  <w:shd w:val="clear" w:color="auto" w:fill="auto"/>
                  <w:noWrap w:val="0"/>
                  <w:vAlign w:val="center"/>
                </w:tcPr>
                <w:p w14:paraId="287D92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0.019</w:t>
                  </w:r>
                </w:p>
              </w:tc>
              <w:tc>
                <w:tcPr>
                  <w:tcW w:w="873" w:type="dxa"/>
                  <w:vMerge w:val="continue"/>
                  <w:tcBorders>
                    <w:tl2br w:val="nil"/>
                    <w:tr2bl w:val="nil"/>
                  </w:tcBorders>
                  <w:noWrap w:val="0"/>
                  <w:vAlign w:val="center"/>
                </w:tcPr>
                <w:p w14:paraId="683FF5B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736" w:type="dxa"/>
                  <w:vMerge w:val="continue"/>
                  <w:tcBorders>
                    <w:tl2br w:val="nil"/>
                    <w:tr2bl w:val="nil"/>
                  </w:tcBorders>
                  <w:noWrap w:val="0"/>
                  <w:vAlign w:val="center"/>
                </w:tcPr>
                <w:p w14:paraId="07EB102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kern w:val="2"/>
                      <w:sz w:val="21"/>
                      <w:szCs w:val="21"/>
                      <w:lang w:val="en-US" w:eastAsia="zh-CN" w:bidi="ar-SA"/>
                    </w:rPr>
                  </w:pPr>
                </w:p>
              </w:tc>
              <w:tc>
                <w:tcPr>
                  <w:tcW w:w="689" w:type="dxa"/>
                  <w:tcBorders>
                    <w:tl2br w:val="nil"/>
                    <w:tr2bl w:val="nil"/>
                  </w:tcBorders>
                  <w:noWrap w:val="0"/>
                  <w:vAlign w:val="center"/>
                </w:tcPr>
                <w:p w14:paraId="18E90A7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69904C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673" w:type="dxa"/>
                  <w:vMerge w:val="continue"/>
                  <w:tcBorders>
                    <w:tl2br w:val="nil"/>
                    <w:tr2bl w:val="nil"/>
                  </w:tcBorders>
                  <w:noWrap w:val="0"/>
                  <w:vAlign w:val="center"/>
                </w:tcPr>
                <w:p w14:paraId="1CC540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eastAsia="zh-CN"/>
                    </w:rPr>
                  </w:pPr>
                </w:p>
              </w:tc>
              <w:tc>
                <w:tcPr>
                  <w:tcW w:w="425" w:type="dxa"/>
                  <w:vMerge w:val="continue"/>
                  <w:tcBorders>
                    <w:tl2br w:val="nil"/>
                    <w:tr2bl w:val="nil"/>
                  </w:tcBorders>
                  <w:noWrap w:val="0"/>
                  <w:vAlign w:val="center"/>
                </w:tcPr>
                <w:p w14:paraId="0DBC177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717" w:type="dxa"/>
                  <w:vMerge w:val="restart"/>
                  <w:tcBorders>
                    <w:tl2br w:val="nil"/>
                    <w:tr2bl w:val="nil"/>
                  </w:tcBorders>
                  <w:noWrap w:val="0"/>
                  <w:vAlign w:val="center"/>
                </w:tcPr>
                <w:p w14:paraId="23DB2724">
                  <w:pPr>
                    <w:keepNext w:val="0"/>
                    <w:keepLines w:val="0"/>
                    <w:suppressLineNumbers w:val="0"/>
                    <w:snapToGrid w:val="0"/>
                    <w:spacing w:before="0" w:beforeAutospacing="0" w:after="0" w:afterAutospacing="0" w:line="300" w:lineRule="exact"/>
                    <w:ind w:left="0" w:right="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2026.7.3</w:t>
                  </w:r>
                </w:p>
              </w:tc>
              <w:tc>
                <w:tcPr>
                  <w:tcW w:w="340" w:type="dxa"/>
                  <w:tcBorders>
                    <w:tl2br w:val="nil"/>
                    <w:tr2bl w:val="nil"/>
                  </w:tcBorders>
                  <w:noWrap w:val="0"/>
                  <w:vAlign w:val="center"/>
                </w:tcPr>
                <w:p w14:paraId="7276B8D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fldChar w:fldCharType="begin"/>
                  </w:r>
                  <w:r>
                    <w:rPr>
                      <w:rFonts w:hint="default" w:ascii="Times New Roman" w:hAnsi="Times New Roman" w:cs="Times New Roman"/>
                      <w:sz w:val="21"/>
                      <w:szCs w:val="21"/>
                      <w:lang w:val="en-US" w:eastAsia="zh-CN"/>
                    </w:rPr>
                    <w:instrText xml:space="preserve"> = 1 \* GB3 \* MERGEFORMAT </w:instrText>
                  </w:r>
                  <w:r>
                    <w:rPr>
                      <w:rFonts w:hint="default" w:ascii="Times New Roman" w:hAnsi="Times New Roman" w:cs="Times New Roman"/>
                      <w:sz w:val="21"/>
                      <w:szCs w:val="21"/>
                      <w:lang w:val="en-US" w:eastAsia="zh-CN"/>
                    </w:rPr>
                    <w:fldChar w:fldCharType="separate"/>
                  </w:r>
                  <w:r>
                    <w:rPr>
                      <w:rFonts w:hint="default" w:ascii="Times New Roman" w:hAnsi="Times New Roman" w:cs="Times New Roman"/>
                      <w:sz w:val="21"/>
                      <w:szCs w:val="21"/>
                      <w:lang w:val="en-US" w:eastAsia="zh-CN"/>
                    </w:rPr>
                    <w:t>①</w:t>
                  </w:r>
                  <w:r>
                    <w:rPr>
                      <w:rFonts w:hint="default" w:ascii="Times New Roman" w:hAnsi="Times New Roman" w:cs="Times New Roman"/>
                      <w:sz w:val="21"/>
                      <w:szCs w:val="21"/>
                      <w:lang w:val="en-US" w:eastAsia="zh-CN"/>
                    </w:rPr>
                    <w:fldChar w:fldCharType="end"/>
                  </w:r>
                </w:p>
              </w:tc>
              <w:tc>
                <w:tcPr>
                  <w:tcW w:w="833" w:type="dxa"/>
                  <w:tcBorders>
                    <w:tl2br w:val="nil"/>
                    <w:tr2bl w:val="nil"/>
                  </w:tcBorders>
                  <w:noWrap w:val="0"/>
                  <w:vAlign w:val="center"/>
                </w:tcPr>
                <w:p w14:paraId="2978BC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796</w:t>
                  </w:r>
                </w:p>
              </w:tc>
              <w:tc>
                <w:tcPr>
                  <w:tcW w:w="668" w:type="dxa"/>
                  <w:tcBorders>
                    <w:tl2br w:val="nil"/>
                    <w:tr2bl w:val="nil"/>
                  </w:tcBorders>
                  <w:noWrap w:val="0"/>
                  <w:vAlign w:val="center"/>
                </w:tcPr>
                <w:p w14:paraId="2D70D7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39.1</w:t>
                  </w:r>
                </w:p>
              </w:tc>
              <w:tc>
                <w:tcPr>
                  <w:tcW w:w="818" w:type="dxa"/>
                  <w:tcBorders>
                    <w:tl2br w:val="nil"/>
                    <w:tr2bl w:val="nil"/>
                  </w:tcBorders>
                  <w:shd w:val="clear" w:color="auto" w:fill="auto"/>
                  <w:noWrap w:val="0"/>
                  <w:vAlign w:val="center"/>
                </w:tcPr>
                <w:p w14:paraId="4F0F6F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25.1</w:t>
                  </w:r>
                </w:p>
              </w:tc>
              <w:tc>
                <w:tcPr>
                  <w:tcW w:w="860" w:type="dxa"/>
                  <w:tcBorders>
                    <w:tl2br w:val="nil"/>
                    <w:tr2bl w:val="nil"/>
                  </w:tcBorders>
                  <w:shd w:val="clear" w:color="auto" w:fill="auto"/>
                  <w:noWrap w:val="0"/>
                  <w:vAlign w:val="center"/>
                </w:tcPr>
                <w:p w14:paraId="77F36F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25.1</w:t>
                  </w:r>
                </w:p>
              </w:tc>
              <w:tc>
                <w:tcPr>
                  <w:tcW w:w="722" w:type="dxa"/>
                  <w:tcBorders>
                    <w:tl2br w:val="nil"/>
                    <w:tr2bl w:val="nil"/>
                  </w:tcBorders>
                  <w:shd w:val="clear" w:color="auto" w:fill="auto"/>
                  <w:noWrap w:val="0"/>
                  <w:vAlign w:val="center"/>
                </w:tcPr>
                <w:p w14:paraId="71E8F7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0.020</w:t>
                  </w:r>
                </w:p>
              </w:tc>
              <w:tc>
                <w:tcPr>
                  <w:tcW w:w="873" w:type="dxa"/>
                  <w:vMerge w:val="continue"/>
                  <w:tcBorders>
                    <w:tl2br w:val="nil"/>
                    <w:tr2bl w:val="nil"/>
                  </w:tcBorders>
                  <w:noWrap w:val="0"/>
                  <w:vAlign w:val="center"/>
                </w:tcPr>
                <w:p w14:paraId="4338575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36" w:type="dxa"/>
                  <w:vMerge w:val="continue"/>
                  <w:tcBorders>
                    <w:tl2br w:val="nil"/>
                    <w:tr2bl w:val="nil"/>
                  </w:tcBorders>
                  <w:noWrap w:val="0"/>
                  <w:vAlign w:val="center"/>
                </w:tcPr>
                <w:p w14:paraId="23D19B9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689" w:type="dxa"/>
                  <w:tcBorders>
                    <w:tl2br w:val="nil"/>
                    <w:tr2bl w:val="nil"/>
                  </w:tcBorders>
                  <w:noWrap w:val="0"/>
                  <w:vAlign w:val="center"/>
                </w:tcPr>
                <w:p w14:paraId="2D68EAE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B89C0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673" w:type="dxa"/>
                  <w:vMerge w:val="continue"/>
                  <w:tcBorders>
                    <w:tl2br w:val="nil"/>
                    <w:tr2bl w:val="nil"/>
                  </w:tcBorders>
                  <w:noWrap w:val="0"/>
                  <w:vAlign w:val="center"/>
                </w:tcPr>
                <w:p w14:paraId="1601D87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425" w:type="dxa"/>
                  <w:vMerge w:val="continue"/>
                  <w:tcBorders>
                    <w:tl2br w:val="nil"/>
                    <w:tr2bl w:val="nil"/>
                  </w:tcBorders>
                  <w:noWrap w:val="0"/>
                  <w:vAlign w:val="center"/>
                </w:tcPr>
                <w:p w14:paraId="6986E6D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717" w:type="dxa"/>
                  <w:vMerge w:val="continue"/>
                  <w:tcBorders>
                    <w:tl2br w:val="nil"/>
                    <w:tr2bl w:val="nil"/>
                  </w:tcBorders>
                  <w:noWrap w:val="0"/>
                  <w:vAlign w:val="center"/>
                </w:tcPr>
                <w:p w14:paraId="2D7802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p>
              </w:tc>
              <w:tc>
                <w:tcPr>
                  <w:tcW w:w="340" w:type="dxa"/>
                  <w:tcBorders>
                    <w:tl2br w:val="nil"/>
                    <w:tr2bl w:val="nil"/>
                  </w:tcBorders>
                  <w:noWrap w:val="0"/>
                  <w:vAlign w:val="center"/>
                </w:tcPr>
                <w:p w14:paraId="5873329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fldChar w:fldCharType="begin"/>
                  </w:r>
                  <w:r>
                    <w:rPr>
                      <w:rFonts w:hint="default" w:ascii="Times New Roman" w:hAnsi="Times New Roman" w:cs="Times New Roman"/>
                      <w:sz w:val="21"/>
                      <w:szCs w:val="21"/>
                      <w:lang w:val="en-US" w:eastAsia="zh-CN"/>
                    </w:rPr>
                    <w:instrText xml:space="preserve"> = 2 \* GB3 \* MERGEFORMAT </w:instrText>
                  </w:r>
                  <w:r>
                    <w:rPr>
                      <w:rFonts w:hint="default" w:ascii="Times New Roman" w:hAnsi="Times New Roman" w:cs="Times New Roman"/>
                      <w:sz w:val="21"/>
                      <w:szCs w:val="21"/>
                      <w:lang w:val="en-US" w:eastAsia="zh-CN"/>
                    </w:rPr>
                    <w:fldChar w:fldCharType="separate"/>
                  </w:r>
                  <w:r>
                    <w:rPr>
                      <w:rFonts w:hint="default" w:ascii="Times New Roman" w:hAnsi="Times New Roman" w:cs="Times New Roman"/>
                      <w:sz w:val="21"/>
                      <w:szCs w:val="21"/>
                      <w:lang w:val="en-US" w:eastAsia="zh-CN"/>
                    </w:rPr>
                    <w:t>②</w:t>
                  </w:r>
                  <w:r>
                    <w:rPr>
                      <w:rFonts w:hint="default" w:ascii="Times New Roman" w:hAnsi="Times New Roman" w:cs="Times New Roman"/>
                      <w:sz w:val="21"/>
                      <w:szCs w:val="21"/>
                      <w:lang w:val="en-US" w:eastAsia="zh-CN"/>
                    </w:rPr>
                    <w:fldChar w:fldCharType="end"/>
                  </w:r>
                </w:p>
              </w:tc>
              <w:tc>
                <w:tcPr>
                  <w:tcW w:w="833" w:type="dxa"/>
                  <w:tcBorders>
                    <w:tl2br w:val="nil"/>
                    <w:tr2bl w:val="nil"/>
                  </w:tcBorders>
                  <w:noWrap w:val="0"/>
                  <w:vAlign w:val="center"/>
                </w:tcPr>
                <w:p w14:paraId="68A2AB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718</w:t>
                  </w:r>
                </w:p>
              </w:tc>
              <w:tc>
                <w:tcPr>
                  <w:tcW w:w="668" w:type="dxa"/>
                  <w:tcBorders>
                    <w:tl2br w:val="nil"/>
                    <w:tr2bl w:val="nil"/>
                  </w:tcBorders>
                  <w:noWrap w:val="0"/>
                  <w:vAlign w:val="center"/>
                </w:tcPr>
                <w:p w14:paraId="28E411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39.6</w:t>
                  </w:r>
                </w:p>
              </w:tc>
              <w:tc>
                <w:tcPr>
                  <w:tcW w:w="818" w:type="dxa"/>
                  <w:tcBorders>
                    <w:tl2br w:val="nil"/>
                    <w:tr2bl w:val="nil"/>
                  </w:tcBorders>
                  <w:shd w:val="clear" w:color="auto" w:fill="auto"/>
                  <w:noWrap w:val="0"/>
                  <w:vAlign w:val="center"/>
                </w:tcPr>
                <w:p w14:paraId="7DCB6F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26.6</w:t>
                  </w:r>
                </w:p>
              </w:tc>
              <w:tc>
                <w:tcPr>
                  <w:tcW w:w="860" w:type="dxa"/>
                  <w:tcBorders>
                    <w:tl2br w:val="nil"/>
                    <w:tr2bl w:val="nil"/>
                  </w:tcBorders>
                  <w:shd w:val="clear" w:color="auto" w:fill="auto"/>
                  <w:noWrap w:val="0"/>
                  <w:vAlign w:val="center"/>
                </w:tcPr>
                <w:p w14:paraId="239DFA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26.6</w:t>
                  </w:r>
                </w:p>
              </w:tc>
              <w:tc>
                <w:tcPr>
                  <w:tcW w:w="722" w:type="dxa"/>
                  <w:tcBorders>
                    <w:tl2br w:val="nil"/>
                    <w:tr2bl w:val="nil"/>
                  </w:tcBorders>
                  <w:shd w:val="clear" w:color="auto" w:fill="auto"/>
                  <w:noWrap w:val="0"/>
                  <w:vAlign w:val="center"/>
                </w:tcPr>
                <w:p w14:paraId="4B146C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0.019</w:t>
                  </w:r>
                </w:p>
              </w:tc>
              <w:tc>
                <w:tcPr>
                  <w:tcW w:w="873" w:type="dxa"/>
                  <w:vMerge w:val="continue"/>
                  <w:tcBorders>
                    <w:tl2br w:val="nil"/>
                    <w:tr2bl w:val="nil"/>
                  </w:tcBorders>
                  <w:noWrap w:val="0"/>
                  <w:vAlign w:val="center"/>
                </w:tcPr>
                <w:p w14:paraId="68A85C1F">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36" w:type="dxa"/>
                  <w:vMerge w:val="continue"/>
                  <w:tcBorders>
                    <w:tl2br w:val="nil"/>
                    <w:tr2bl w:val="nil"/>
                  </w:tcBorders>
                  <w:noWrap w:val="0"/>
                  <w:vAlign w:val="center"/>
                </w:tcPr>
                <w:p w14:paraId="17AB362B">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689" w:type="dxa"/>
                  <w:tcBorders>
                    <w:tl2br w:val="nil"/>
                    <w:tr2bl w:val="nil"/>
                  </w:tcBorders>
                  <w:noWrap w:val="0"/>
                  <w:vAlign w:val="center"/>
                </w:tcPr>
                <w:p w14:paraId="1C6B171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5C9A7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673" w:type="dxa"/>
                  <w:vMerge w:val="continue"/>
                  <w:tcBorders>
                    <w:tl2br w:val="nil"/>
                    <w:tr2bl w:val="nil"/>
                  </w:tcBorders>
                  <w:noWrap w:val="0"/>
                  <w:vAlign w:val="center"/>
                </w:tcPr>
                <w:p w14:paraId="31453DD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425" w:type="dxa"/>
                  <w:vMerge w:val="continue"/>
                  <w:tcBorders>
                    <w:tl2br w:val="nil"/>
                    <w:tr2bl w:val="nil"/>
                  </w:tcBorders>
                  <w:noWrap w:val="0"/>
                  <w:vAlign w:val="center"/>
                </w:tcPr>
                <w:p w14:paraId="25270C1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717" w:type="dxa"/>
                  <w:vMerge w:val="continue"/>
                  <w:tcBorders>
                    <w:tl2br w:val="nil"/>
                    <w:tr2bl w:val="nil"/>
                  </w:tcBorders>
                  <w:noWrap w:val="0"/>
                  <w:vAlign w:val="center"/>
                </w:tcPr>
                <w:p w14:paraId="0DFD33E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p>
              </w:tc>
              <w:tc>
                <w:tcPr>
                  <w:tcW w:w="340" w:type="dxa"/>
                  <w:tcBorders>
                    <w:tl2br w:val="nil"/>
                    <w:tr2bl w:val="nil"/>
                  </w:tcBorders>
                  <w:noWrap w:val="0"/>
                  <w:vAlign w:val="center"/>
                </w:tcPr>
                <w:p w14:paraId="3F1C0F5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fldChar w:fldCharType="begin"/>
                  </w:r>
                  <w:r>
                    <w:rPr>
                      <w:rFonts w:hint="default" w:ascii="Times New Roman" w:hAnsi="Times New Roman" w:cs="Times New Roman"/>
                      <w:sz w:val="21"/>
                      <w:szCs w:val="21"/>
                      <w:lang w:val="en-US" w:eastAsia="zh-CN"/>
                    </w:rPr>
                    <w:instrText xml:space="preserve"> = 3 \* GB3 \* MERGEFORMAT </w:instrText>
                  </w:r>
                  <w:r>
                    <w:rPr>
                      <w:rFonts w:hint="default" w:ascii="Times New Roman" w:hAnsi="Times New Roman" w:cs="Times New Roman"/>
                      <w:sz w:val="21"/>
                      <w:szCs w:val="21"/>
                      <w:lang w:val="en-US" w:eastAsia="zh-CN"/>
                    </w:rPr>
                    <w:fldChar w:fldCharType="separate"/>
                  </w:r>
                  <w:r>
                    <w:rPr>
                      <w:rFonts w:hint="default" w:ascii="Times New Roman" w:hAnsi="Times New Roman" w:cs="Times New Roman"/>
                      <w:sz w:val="21"/>
                      <w:szCs w:val="21"/>
                      <w:lang w:val="en-US" w:eastAsia="zh-CN"/>
                    </w:rPr>
                    <w:t>③</w:t>
                  </w:r>
                  <w:r>
                    <w:rPr>
                      <w:rFonts w:hint="default" w:ascii="Times New Roman" w:hAnsi="Times New Roman" w:cs="Times New Roman"/>
                      <w:sz w:val="21"/>
                      <w:szCs w:val="21"/>
                      <w:lang w:val="en-US" w:eastAsia="zh-CN"/>
                    </w:rPr>
                    <w:fldChar w:fldCharType="end"/>
                  </w:r>
                </w:p>
              </w:tc>
              <w:tc>
                <w:tcPr>
                  <w:tcW w:w="833" w:type="dxa"/>
                  <w:tcBorders>
                    <w:tl2br w:val="nil"/>
                    <w:tr2bl w:val="nil"/>
                  </w:tcBorders>
                  <w:noWrap w:val="0"/>
                  <w:vAlign w:val="center"/>
                </w:tcPr>
                <w:p w14:paraId="6E8190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739</w:t>
                  </w:r>
                </w:p>
              </w:tc>
              <w:tc>
                <w:tcPr>
                  <w:tcW w:w="668" w:type="dxa"/>
                  <w:tcBorders>
                    <w:tl2br w:val="nil"/>
                    <w:tr2bl w:val="nil"/>
                  </w:tcBorders>
                  <w:noWrap w:val="0"/>
                  <w:vAlign w:val="center"/>
                </w:tcPr>
                <w:p w14:paraId="4109A9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40.0</w:t>
                  </w:r>
                </w:p>
              </w:tc>
              <w:tc>
                <w:tcPr>
                  <w:tcW w:w="818" w:type="dxa"/>
                  <w:tcBorders>
                    <w:tl2br w:val="nil"/>
                    <w:tr2bl w:val="nil"/>
                  </w:tcBorders>
                  <w:shd w:val="clear" w:color="auto" w:fill="auto"/>
                  <w:noWrap w:val="0"/>
                  <w:vAlign w:val="center"/>
                </w:tcPr>
                <w:p w14:paraId="3203EA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26.3</w:t>
                  </w:r>
                </w:p>
              </w:tc>
              <w:tc>
                <w:tcPr>
                  <w:tcW w:w="860" w:type="dxa"/>
                  <w:tcBorders>
                    <w:tl2br w:val="nil"/>
                    <w:tr2bl w:val="nil"/>
                  </w:tcBorders>
                  <w:shd w:val="clear" w:color="auto" w:fill="auto"/>
                  <w:noWrap w:val="0"/>
                  <w:vAlign w:val="center"/>
                </w:tcPr>
                <w:p w14:paraId="34A2A7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26.3</w:t>
                  </w:r>
                </w:p>
              </w:tc>
              <w:tc>
                <w:tcPr>
                  <w:tcW w:w="722" w:type="dxa"/>
                  <w:tcBorders>
                    <w:tl2br w:val="nil"/>
                    <w:tr2bl w:val="nil"/>
                  </w:tcBorders>
                  <w:shd w:val="clear" w:color="auto" w:fill="auto"/>
                  <w:noWrap w:val="0"/>
                  <w:vAlign w:val="center"/>
                </w:tcPr>
                <w:p w14:paraId="622DEF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0.019</w:t>
                  </w:r>
                </w:p>
              </w:tc>
              <w:tc>
                <w:tcPr>
                  <w:tcW w:w="873" w:type="dxa"/>
                  <w:vMerge w:val="continue"/>
                  <w:tcBorders>
                    <w:tl2br w:val="nil"/>
                    <w:tr2bl w:val="nil"/>
                  </w:tcBorders>
                  <w:noWrap w:val="0"/>
                  <w:vAlign w:val="center"/>
                </w:tcPr>
                <w:p w14:paraId="0252946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736" w:type="dxa"/>
                  <w:vMerge w:val="continue"/>
                  <w:tcBorders>
                    <w:tl2br w:val="nil"/>
                    <w:tr2bl w:val="nil"/>
                  </w:tcBorders>
                  <w:noWrap w:val="0"/>
                  <w:vAlign w:val="center"/>
                </w:tcPr>
                <w:p w14:paraId="366EBDC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2"/>
                      <w:sz w:val="21"/>
                      <w:szCs w:val="21"/>
                      <w:lang w:val="en-US" w:eastAsia="zh-CN" w:bidi="ar-SA"/>
                    </w:rPr>
                  </w:pPr>
                </w:p>
              </w:tc>
              <w:tc>
                <w:tcPr>
                  <w:tcW w:w="689" w:type="dxa"/>
                  <w:tcBorders>
                    <w:tl2br w:val="nil"/>
                    <w:tr2bl w:val="nil"/>
                  </w:tcBorders>
                  <w:noWrap w:val="0"/>
                  <w:vAlign w:val="center"/>
                </w:tcPr>
                <w:p w14:paraId="3CE0E41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74CB1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8354" w:type="dxa"/>
                  <w:gridSpan w:val="12"/>
                  <w:tcBorders>
                    <w:tl2br w:val="nil"/>
                    <w:tr2bl w:val="nil"/>
                  </w:tcBorders>
                  <w:noWrap w:val="0"/>
                  <w:vAlign w:val="center"/>
                </w:tcPr>
                <w:p w14:paraId="63EDB5A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eastAsiaTheme="majorEastAsia"/>
                      <w:sz w:val="21"/>
                      <w:szCs w:val="21"/>
                      <w:lang w:val="en-US" w:eastAsia="zh-CN"/>
                    </w:rPr>
                  </w:pPr>
                  <w:r>
                    <w:rPr>
                      <w:rFonts w:hint="default" w:ascii="Times New Roman" w:hAnsi="Times New Roman" w:cs="Times New Roman"/>
                      <w:color w:val="000000" w:themeColor="text1"/>
                      <w:sz w:val="21"/>
                      <w:szCs w:val="21"/>
                      <w:lang w:eastAsia="zh-CN"/>
                      <w14:textFill>
                        <w14:solidFill>
                          <w14:schemeClr w14:val="tx1"/>
                        </w14:solidFill>
                      </w14:textFill>
                    </w:rPr>
                    <w:t>备注：囱高</w:t>
                  </w:r>
                  <w:r>
                    <w:rPr>
                      <w:rFonts w:hint="eastAsia"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cs="Times New Roman"/>
                      <w:color w:val="000000" w:themeColor="text1"/>
                      <w:sz w:val="21"/>
                      <w:szCs w:val="21"/>
                      <w14:textFill>
                        <w14:solidFill>
                          <w14:schemeClr w14:val="tx1"/>
                        </w14:solidFill>
                      </w14:textFill>
                    </w:rPr>
                    <w:t>m，烟道截面积为</w:t>
                  </w:r>
                  <w:r>
                    <w:rPr>
                      <w:rFonts w:hint="default" w:ascii="Times New Roman" w:hAnsi="Times New Roman" w:cs="Times New Roman"/>
                      <w:color w:val="000000" w:themeColor="text1"/>
                      <w:sz w:val="21"/>
                      <w:szCs w:val="21"/>
                      <w:lang w:val="en-US" w:eastAsia="zh-CN"/>
                      <w14:textFill>
                        <w14:solidFill>
                          <w14:schemeClr w14:val="tx1"/>
                        </w14:solidFill>
                      </w14:textFill>
                    </w:rPr>
                    <w:t>0.0314</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 xml:space="preserve">   </w:t>
                  </w:r>
                </w:p>
              </w:tc>
            </w:tr>
          </w:tbl>
          <w:p w14:paraId="5B45F9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color w:val="auto"/>
                <w:sz w:val="24"/>
                <w:szCs w:val="24"/>
              </w:rPr>
              <w:t>监测结果</w:t>
            </w:r>
            <w:r>
              <w:rPr>
                <w:rFonts w:hint="eastAsia" w:ascii="Times New Roman" w:hAnsi="Times New Roman" w:cs="Times New Roman"/>
                <w:color w:val="auto"/>
                <w:sz w:val="24"/>
                <w:szCs w:val="24"/>
                <w:lang w:eastAsia="zh-CN"/>
              </w:rPr>
              <w:t>表</w:t>
            </w:r>
            <w:r>
              <w:rPr>
                <w:rFonts w:hint="default" w:ascii="Times New Roman" w:hAnsi="Times New Roman" w:cs="Times New Roman"/>
                <w:color w:val="auto"/>
                <w:sz w:val="24"/>
                <w:szCs w:val="24"/>
              </w:rPr>
              <w:t>明：</w:t>
            </w:r>
            <w:r>
              <w:rPr>
                <w:rFonts w:hint="eastAsia" w:ascii="Times New Roman" w:hAnsi="Times New Roman" w:cs="Times New Roman"/>
                <w:color w:val="auto"/>
                <w:sz w:val="24"/>
                <w:szCs w:val="24"/>
                <w:lang w:eastAsia="zh-CN"/>
              </w:rPr>
              <w:t>项目投料、混合粉尘排口（</w:t>
            </w:r>
            <w:r>
              <w:rPr>
                <w:rFonts w:hint="eastAsia" w:ascii="Times New Roman" w:hAnsi="Times New Roman" w:cs="Times New Roman"/>
                <w:color w:val="auto"/>
                <w:sz w:val="24"/>
                <w:szCs w:val="24"/>
                <w:lang w:val="en-US" w:eastAsia="zh-CN"/>
              </w:rPr>
              <w:t>DA001</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颗粒物检测结果</w:t>
            </w:r>
            <w:r>
              <w:rPr>
                <w:rFonts w:hint="default" w:ascii="Times New Roman" w:hAnsi="Times New Roman" w:cs="Times New Roman"/>
                <w:color w:val="auto"/>
                <w:sz w:val="24"/>
                <w:szCs w:val="24"/>
              </w:rPr>
              <w:t>满足</w:t>
            </w:r>
            <w:r>
              <w:rPr>
                <w:rFonts w:hint="eastAsia" w:ascii="Times New Roman" w:hAnsi="Times New Roman" w:cs="Times New Roman"/>
                <w:sz w:val="24"/>
                <w:szCs w:val="24"/>
                <w:lang w:val="en-US" w:eastAsia="zh-CN"/>
              </w:rPr>
              <w:t>《大气污染物综合排放标准》（GB 16297-1996）表2二级标准。</w:t>
            </w:r>
          </w:p>
          <w:p w14:paraId="626B17DB">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w:t>
            </w:r>
            <w:r>
              <w:rPr>
                <w:rFonts w:hint="eastAsia" w:ascii="Times New Roman" w:hAnsi="Times New Roman" w:cs="Times New Roman"/>
                <w:b/>
                <w:color w:val="000000" w:themeColor="text1"/>
                <w:sz w:val="21"/>
                <w:szCs w:val="21"/>
                <w:lang w:val="en-US" w:eastAsia="zh-CN"/>
                <w14:textFill>
                  <w14:solidFill>
                    <w14:schemeClr w14:val="tx1"/>
                  </w14:solidFill>
                </w14:textFill>
              </w:rPr>
              <w:t>4</w:t>
            </w:r>
            <w:r>
              <w:rPr>
                <w:rFonts w:hint="default" w:ascii="Times New Roman" w:hAnsi="Times New Roman" w:cs="Times New Roman"/>
                <w:b/>
                <w:color w:val="000000" w:themeColor="text1"/>
                <w:sz w:val="21"/>
                <w:szCs w:val="21"/>
                <w:lang w:val="en-US" w:eastAsia="zh-CN"/>
                <w14:textFill>
                  <w14:solidFill>
                    <w14:schemeClr w14:val="tx1"/>
                  </w14:solidFill>
                </w14:textFill>
              </w:rPr>
              <w:t xml:space="preserve"> 无组织</w:t>
            </w:r>
            <w:r>
              <w:rPr>
                <w:rFonts w:hint="eastAsia" w:ascii="Times New Roman" w:hAnsi="Times New Roman" w:cs="Times New Roman"/>
                <w:b/>
                <w:color w:val="000000" w:themeColor="text1"/>
                <w:sz w:val="21"/>
                <w:szCs w:val="21"/>
                <w:lang w:val="en-US" w:eastAsia="zh-CN"/>
                <w14:textFill>
                  <w14:solidFill>
                    <w14:schemeClr w14:val="tx1"/>
                  </w14:solidFill>
                </w14:textFill>
              </w:rPr>
              <w:t>废气</w:t>
            </w:r>
            <w:r>
              <w:rPr>
                <w:rFonts w:hint="default" w:ascii="Times New Roman" w:hAnsi="Times New Roman" w:cs="Times New Roman"/>
                <w:b/>
                <w:color w:val="000000" w:themeColor="text1"/>
                <w:sz w:val="21"/>
                <w:szCs w:val="21"/>
                <w:lang w:val="en-US" w:eastAsia="zh-CN"/>
                <w14:textFill>
                  <w14:solidFill>
                    <w14:schemeClr w14:val="tx1"/>
                  </w14:solidFill>
                </w14:textFill>
              </w:rPr>
              <w:t>监测结果（单位：mg/m</w:t>
            </w:r>
            <w:r>
              <w:rPr>
                <w:rFonts w:hint="default" w:ascii="Times New Roman" w:hAnsi="Times New Roman" w:cs="Times New Roman"/>
                <w:b/>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b/>
                <w:color w:val="000000" w:themeColor="text1"/>
                <w:sz w:val="21"/>
                <w:szCs w:val="21"/>
                <w:lang w:val="en-US" w:eastAsia="zh-CN"/>
                <w14:textFill>
                  <w14:solidFill>
                    <w14:schemeClr w14:val="tx1"/>
                  </w14:solidFill>
                </w14:textFill>
              </w:rPr>
              <w:t>）</w:t>
            </w:r>
          </w:p>
          <w:tbl>
            <w:tblPr>
              <w:tblStyle w:val="24"/>
              <w:tblW w:w="845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83"/>
              <w:gridCol w:w="1196"/>
              <w:gridCol w:w="1019"/>
              <w:gridCol w:w="1021"/>
              <w:gridCol w:w="1022"/>
              <w:gridCol w:w="897"/>
              <w:gridCol w:w="920"/>
            </w:tblGrid>
            <w:tr w14:paraId="43EDF6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2383" w:type="dxa"/>
                  <w:vMerge w:val="restart"/>
                  <w:tcBorders>
                    <w:tl2br w:val="nil"/>
                    <w:tr2bl w:val="nil"/>
                  </w:tcBorders>
                  <w:shd w:val="clear" w:color="auto" w:fill="auto"/>
                  <w:noWrap w:val="0"/>
                  <w:vAlign w:val="center"/>
                </w:tcPr>
                <w:p w14:paraId="7829E5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ajorEastAsia"/>
                      <w:b/>
                      <w:bCs/>
                      <w:kern w:val="2"/>
                      <w:sz w:val="21"/>
                      <w:szCs w:val="21"/>
                      <w:lang w:val="en-US" w:eastAsia="zh-CN" w:bidi="ar-SA"/>
                    </w:rPr>
                  </w:pPr>
                  <w:r>
                    <w:rPr>
                      <w:rFonts w:hint="default" w:ascii="Times New Roman" w:hAnsi="Times New Roman" w:cs="Times New Roman" w:eastAsiaTheme="majorEastAsia"/>
                      <w:b/>
                      <w:bCs/>
                      <w:sz w:val="21"/>
                      <w:szCs w:val="21"/>
                    </w:rPr>
                    <w:t>监测点位</w:t>
                  </w:r>
                </w:p>
              </w:tc>
              <w:tc>
                <w:tcPr>
                  <w:tcW w:w="1196" w:type="dxa"/>
                  <w:vMerge w:val="restart"/>
                  <w:tcBorders>
                    <w:tl2br w:val="nil"/>
                    <w:tr2bl w:val="nil"/>
                  </w:tcBorders>
                  <w:shd w:val="clear" w:color="auto" w:fill="auto"/>
                  <w:noWrap w:val="0"/>
                  <w:vAlign w:val="center"/>
                </w:tcPr>
                <w:p w14:paraId="375DB1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b/>
                      <w:bCs/>
                      <w:kern w:val="2"/>
                      <w:sz w:val="21"/>
                      <w:szCs w:val="21"/>
                      <w:lang w:val="en-US" w:eastAsia="zh-CN" w:bidi="ar-SA"/>
                    </w:rPr>
                  </w:pPr>
                  <w:r>
                    <w:rPr>
                      <w:rFonts w:hint="default" w:ascii="Times New Roman" w:hAnsi="Times New Roman" w:cs="Times New Roman" w:eastAsiaTheme="majorEastAsia"/>
                      <w:b/>
                      <w:bCs/>
                      <w:sz w:val="21"/>
                      <w:szCs w:val="21"/>
                    </w:rPr>
                    <w:t>监测时间</w:t>
                  </w:r>
                </w:p>
              </w:tc>
              <w:tc>
                <w:tcPr>
                  <w:tcW w:w="3062" w:type="dxa"/>
                  <w:gridSpan w:val="3"/>
                  <w:tcBorders>
                    <w:tl2br w:val="nil"/>
                    <w:tr2bl w:val="nil"/>
                  </w:tcBorders>
                  <w:shd w:val="clear" w:color="auto" w:fill="auto"/>
                  <w:noWrap w:val="0"/>
                  <w:vAlign w:val="center"/>
                </w:tcPr>
                <w:p w14:paraId="5C5B18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ajorEastAsia"/>
                      <w:b/>
                      <w:bCs/>
                      <w:kern w:val="2"/>
                      <w:sz w:val="21"/>
                      <w:szCs w:val="21"/>
                      <w:lang w:val="en-US" w:eastAsia="zh-CN" w:bidi="ar-SA"/>
                    </w:rPr>
                  </w:pPr>
                  <w:r>
                    <w:rPr>
                      <w:rFonts w:hint="eastAsia" w:ascii="Times New Roman" w:hAnsi="Times New Roman" w:cs="Times New Roman" w:eastAsiaTheme="majorEastAsia"/>
                      <w:b/>
                      <w:bCs/>
                      <w:sz w:val="21"/>
                      <w:szCs w:val="21"/>
                      <w:lang w:val="en-US" w:eastAsia="zh-CN"/>
                    </w:rPr>
                    <w:t>总悬浮颗粒物</w:t>
                  </w:r>
                </w:p>
              </w:tc>
              <w:tc>
                <w:tcPr>
                  <w:tcW w:w="897" w:type="dxa"/>
                  <w:vMerge w:val="restart"/>
                  <w:tcBorders>
                    <w:tl2br w:val="nil"/>
                    <w:tr2bl w:val="nil"/>
                  </w:tcBorders>
                  <w:shd w:val="clear" w:color="auto" w:fill="auto"/>
                  <w:noWrap w:val="0"/>
                  <w:vAlign w:val="center"/>
                </w:tcPr>
                <w:p w14:paraId="7C1374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b/>
                      <w:bCs/>
                      <w:sz w:val="21"/>
                      <w:szCs w:val="21"/>
                      <w:lang w:eastAsia="zh-CN"/>
                    </w:rPr>
                  </w:pPr>
                  <w:r>
                    <w:rPr>
                      <w:rFonts w:hint="default" w:ascii="Times New Roman" w:hAnsi="Times New Roman" w:cs="Times New Roman" w:eastAsiaTheme="majorEastAsia"/>
                      <w:b/>
                      <w:bCs/>
                      <w:sz w:val="21"/>
                      <w:szCs w:val="21"/>
                      <w:lang w:eastAsia="zh-CN"/>
                    </w:rPr>
                    <w:t>标准</w:t>
                  </w:r>
                </w:p>
                <w:p w14:paraId="1F11A3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b/>
                      <w:bCs/>
                      <w:kern w:val="2"/>
                      <w:sz w:val="21"/>
                      <w:szCs w:val="21"/>
                      <w:lang w:val="en-US" w:eastAsia="zh-CN" w:bidi="ar-SA"/>
                    </w:rPr>
                  </w:pPr>
                  <w:r>
                    <w:rPr>
                      <w:rFonts w:hint="default" w:ascii="Times New Roman" w:hAnsi="Times New Roman" w:cs="Times New Roman" w:eastAsiaTheme="majorEastAsia"/>
                      <w:b/>
                      <w:bCs/>
                      <w:sz w:val="21"/>
                      <w:szCs w:val="21"/>
                      <w:lang w:eastAsia="zh-CN"/>
                    </w:rPr>
                    <w:t>限值</w:t>
                  </w:r>
                </w:p>
              </w:tc>
              <w:tc>
                <w:tcPr>
                  <w:tcW w:w="920" w:type="dxa"/>
                  <w:vMerge w:val="restart"/>
                  <w:tcBorders>
                    <w:tl2br w:val="nil"/>
                    <w:tr2bl w:val="nil"/>
                  </w:tcBorders>
                  <w:shd w:val="clear" w:color="auto" w:fill="auto"/>
                  <w:noWrap w:val="0"/>
                  <w:vAlign w:val="center"/>
                </w:tcPr>
                <w:p w14:paraId="379184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b/>
                      <w:bCs/>
                      <w:kern w:val="2"/>
                      <w:sz w:val="21"/>
                      <w:szCs w:val="21"/>
                      <w:lang w:val="en-US" w:eastAsia="zh-CN" w:bidi="ar-SA"/>
                    </w:rPr>
                  </w:pPr>
                  <w:r>
                    <w:rPr>
                      <w:rFonts w:hint="default" w:ascii="Times New Roman" w:hAnsi="Times New Roman" w:cs="Times New Roman" w:eastAsiaTheme="majorEastAsia"/>
                      <w:b/>
                      <w:bCs/>
                      <w:sz w:val="21"/>
                      <w:szCs w:val="21"/>
                      <w:lang w:eastAsia="zh-CN"/>
                    </w:rPr>
                    <w:t>评价</w:t>
                  </w:r>
                </w:p>
              </w:tc>
            </w:tr>
            <w:tr w14:paraId="09F8E2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2383" w:type="dxa"/>
                  <w:vMerge w:val="continue"/>
                  <w:tcBorders>
                    <w:tl2br w:val="nil"/>
                    <w:tr2bl w:val="nil"/>
                  </w:tcBorders>
                  <w:noWrap w:val="0"/>
                  <w:vAlign w:val="center"/>
                </w:tcPr>
                <w:p w14:paraId="46F89A9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pPr>
                </w:p>
              </w:tc>
              <w:tc>
                <w:tcPr>
                  <w:tcW w:w="1196" w:type="dxa"/>
                  <w:vMerge w:val="continue"/>
                  <w:tcBorders>
                    <w:tl2br w:val="nil"/>
                    <w:tr2bl w:val="nil"/>
                  </w:tcBorders>
                  <w:noWrap w:val="0"/>
                  <w:vAlign w:val="center"/>
                </w:tcPr>
                <w:p w14:paraId="3293C27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pPr>
                </w:p>
              </w:tc>
              <w:tc>
                <w:tcPr>
                  <w:tcW w:w="1019" w:type="dxa"/>
                  <w:tcBorders>
                    <w:tl2br w:val="nil"/>
                    <w:tr2bl w:val="nil"/>
                  </w:tcBorders>
                  <w:shd w:val="clear" w:color="auto" w:fill="auto"/>
                  <w:noWrap w:val="0"/>
                  <w:vAlign w:val="center"/>
                </w:tcPr>
                <w:p w14:paraId="1C1943B9">
                  <w:pPr>
                    <w:keepNext w:val="0"/>
                    <w:keepLines w:val="0"/>
                    <w:pageBreakBefore w:val="0"/>
                    <w:widowControl w:val="0"/>
                    <w:kinsoku/>
                    <w:wordWrap/>
                    <w:overflowPunct/>
                    <w:topLinePunct w:val="0"/>
                    <w:autoSpaceDE/>
                    <w:autoSpaceDN/>
                    <w:bidi w:val="0"/>
                    <w:adjustRightInd w:val="0"/>
                    <w:snapToGrid w:val="0"/>
                    <w:spacing w:line="240" w:lineRule="auto"/>
                    <w:ind w:firstLine="105" w:firstLineChars="50"/>
                    <w:jc w:val="center"/>
                    <w:textAlignment w:val="auto"/>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b/>
                      <w:bCs/>
                      <w:sz w:val="21"/>
                      <w:szCs w:val="21"/>
                      <w:lang w:val="en-US" w:eastAsia="zh-CN"/>
                    </w:rPr>
                    <w:t>1</w:t>
                  </w:r>
                </w:p>
              </w:tc>
              <w:tc>
                <w:tcPr>
                  <w:tcW w:w="1021" w:type="dxa"/>
                  <w:tcBorders>
                    <w:tl2br w:val="nil"/>
                    <w:tr2bl w:val="nil"/>
                  </w:tcBorders>
                  <w:shd w:val="clear" w:color="auto" w:fill="auto"/>
                  <w:noWrap w:val="0"/>
                  <w:vAlign w:val="center"/>
                </w:tcPr>
                <w:p w14:paraId="4013BC16">
                  <w:pPr>
                    <w:keepNext w:val="0"/>
                    <w:keepLines w:val="0"/>
                    <w:pageBreakBefore w:val="0"/>
                    <w:widowControl w:val="0"/>
                    <w:kinsoku/>
                    <w:wordWrap/>
                    <w:overflowPunct/>
                    <w:topLinePunct w:val="0"/>
                    <w:autoSpaceDE/>
                    <w:autoSpaceDN/>
                    <w:bidi w:val="0"/>
                    <w:adjustRightInd w:val="0"/>
                    <w:snapToGrid w:val="0"/>
                    <w:spacing w:line="240" w:lineRule="auto"/>
                    <w:ind w:firstLine="105" w:firstLineChars="50"/>
                    <w:jc w:val="center"/>
                    <w:textAlignment w:val="auto"/>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b/>
                      <w:bCs/>
                      <w:sz w:val="21"/>
                      <w:szCs w:val="21"/>
                      <w:lang w:val="en-US" w:eastAsia="zh-CN"/>
                    </w:rPr>
                    <w:t>2</w:t>
                  </w:r>
                </w:p>
              </w:tc>
              <w:tc>
                <w:tcPr>
                  <w:tcW w:w="1022" w:type="dxa"/>
                  <w:tcBorders>
                    <w:tl2br w:val="nil"/>
                    <w:tr2bl w:val="nil"/>
                  </w:tcBorders>
                  <w:shd w:val="clear" w:color="auto" w:fill="auto"/>
                  <w:noWrap w:val="0"/>
                  <w:vAlign w:val="center"/>
                </w:tcPr>
                <w:p w14:paraId="028A7AE8">
                  <w:pPr>
                    <w:keepNext w:val="0"/>
                    <w:keepLines w:val="0"/>
                    <w:pageBreakBefore w:val="0"/>
                    <w:widowControl w:val="0"/>
                    <w:kinsoku/>
                    <w:wordWrap/>
                    <w:overflowPunct/>
                    <w:topLinePunct w:val="0"/>
                    <w:autoSpaceDE/>
                    <w:autoSpaceDN/>
                    <w:bidi w:val="0"/>
                    <w:adjustRightInd w:val="0"/>
                    <w:snapToGrid w:val="0"/>
                    <w:spacing w:line="240" w:lineRule="auto"/>
                    <w:ind w:firstLine="105" w:firstLineChars="50"/>
                    <w:jc w:val="center"/>
                    <w:textAlignment w:val="auto"/>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b/>
                      <w:bCs/>
                      <w:sz w:val="21"/>
                      <w:szCs w:val="21"/>
                      <w:lang w:val="en-US" w:eastAsia="zh-CN"/>
                    </w:rPr>
                    <w:t>3</w:t>
                  </w:r>
                </w:p>
              </w:tc>
              <w:tc>
                <w:tcPr>
                  <w:tcW w:w="897" w:type="dxa"/>
                  <w:vMerge w:val="continue"/>
                  <w:tcBorders>
                    <w:tl2br w:val="nil"/>
                    <w:tr2bl w:val="nil"/>
                  </w:tcBorders>
                  <w:noWrap w:val="0"/>
                  <w:vAlign w:val="center"/>
                </w:tcPr>
                <w:p w14:paraId="2C7C6EA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p>
              </w:tc>
              <w:tc>
                <w:tcPr>
                  <w:tcW w:w="920" w:type="dxa"/>
                  <w:vMerge w:val="continue"/>
                  <w:tcBorders>
                    <w:tl2br w:val="nil"/>
                    <w:tr2bl w:val="nil"/>
                  </w:tcBorders>
                  <w:noWrap w:val="0"/>
                  <w:vAlign w:val="center"/>
                </w:tcPr>
                <w:p w14:paraId="372C485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p>
              </w:tc>
            </w:tr>
            <w:tr w14:paraId="16AD7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383" w:type="dxa"/>
                  <w:tcBorders>
                    <w:tl2br w:val="nil"/>
                    <w:tr2bl w:val="nil"/>
                  </w:tcBorders>
                  <w:shd w:val="clear" w:color="auto" w:fill="auto"/>
                  <w:noWrap w:val="0"/>
                  <w:vAlign w:val="center"/>
                </w:tcPr>
                <w:p w14:paraId="1C078E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cs="Times New Roman" w:eastAsiaTheme="maj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default" w:ascii="Times New Roman" w:hAnsi="Times New Roman" w:cs="Times New Roman" w:eastAsiaTheme="majorEastAsia"/>
                      <w:color w:val="000000" w:themeColor="text1"/>
                      <w:sz w:val="21"/>
                      <w:szCs w:val="21"/>
                      <w:lang w:val="en-US" w:eastAsia="zh-CN"/>
                      <w14:textFill>
                        <w14:solidFill>
                          <w14:schemeClr w14:val="tx1"/>
                        </w14:solidFill>
                      </w14:textFill>
                    </w:rPr>
                    <w:t>1</w:t>
                  </w:r>
                  <w:r>
                    <w:rPr>
                      <w:rFonts w:hint="default" w:ascii="Times New Roman" w:hAnsi="Times New Roman" w:cs="Times New Roman" w:eastAsiaTheme="majorEastAsia"/>
                      <w:color w:val="000000" w:themeColor="text1"/>
                      <w:sz w:val="21"/>
                      <w:szCs w:val="21"/>
                      <w14:textFill>
                        <w14:solidFill>
                          <w14:schemeClr w14:val="tx1"/>
                        </w14:solidFill>
                      </w14:textFill>
                    </w:rPr>
                    <w:t>厂界</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上</w:t>
                  </w:r>
                  <w:r>
                    <w:rPr>
                      <w:rFonts w:hint="default" w:ascii="Times New Roman" w:hAnsi="Times New Roman" w:cs="Times New Roman" w:eastAsiaTheme="majorEastAsia"/>
                      <w:color w:val="000000" w:themeColor="text1"/>
                      <w:sz w:val="21"/>
                      <w:szCs w:val="21"/>
                      <w14:textFill>
                        <w14:solidFill>
                          <w14:schemeClr w14:val="tx1"/>
                        </w14:solidFill>
                      </w14:textFill>
                    </w:rPr>
                    <w:t>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东北</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restart"/>
                  <w:tcBorders>
                    <w:tl2br w:val="nil"/>
                    <w:tr2bl w:val="nil"/>
                  </w:tcBorders>
                  <w:shd w:val="clear" w:color="auto" w:fill="auto"/>
                  <w:noWrap w:val="0"/>
                  <w:vAlign w:val="center"/>
                </w:tcPr>
                <w:p w14:paraId="1AAAB294">
                  <w:pPr>
                    <w:snapToGrid w:val="0"/>
                    <w:spacing w:line="300" w:lineRule="exact"/>
                    <w:jc w:val="center"/>
                    <w:rPr>
                      <w:rFonts w:hint="default"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sz w:val="21"/>
                      <w:szCs w:val="21"/>
                      <w:lang w:val="en-US" w:eastAsia="zh-CN"/>
                    </w:rPr>
                    <w:t>2026.7.2</w:t>
                  </w:r>
                </w:p>
              </w:tc>
              <w:tc>
                <w:tcPr>
                  <w:tcW w:w="1019" w:type="dxa"/>
                  <w:tcBorders>
                    <w:tl2br w:val="nil"/>
                    <w:tr2bl w:val="nil"/>
                  </w:tcBorders>
                  <w:shd w:val="clear" w:color="auto" w:fill="auto"/>
                  <w:noWrap w:val="0"/>
                  <w:vAlign w:val="center"/>
                </w:tcPr>
                <w:p w14:paraId="6DC6DEB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0.172</w:t>
                  </w:r>
                </w:p>
              </w:tc>
              <w:tc>
                <w:tcPr>
                  <w:tcW w:w="1021" w:type="dxa"/>
                  <w:tcBorders>
                    <w:tl2br w:val="nil"/>
                    <w:tr2bl w:val="nil"/>
                  </w:tcBorders>
                  <w:shd w:val="clear" w:color="auto" w:fill="auto"/>
                  <w:noWrap w:val="0"/>
                  <w:vAlign w:val="center"/>
                </w:tcPr>
                <w:p w14:paraId="7DC87CB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0.196</w:t>
                  </w:r>
                </w:p>
              </w:tc>
              <w:tc>
                <w:tcPr>
                  <w:tcW w:w="1022" w:type="dxa"/>
                  <w:tcBorders>
                    <w:tl2br w:val="nil"/>
                    <w:tr2bl w:val="nil"/>
                  </w:tcBorders>
                  <w:shd w:val="clear" w:color="auto" w:fill="auto"/>
                  <w:noWrap w:val="0"/>
                  <w:vAlign w:val="center"/>
                </w:tcPr>
                <w:p w14:paraId="0C408AA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0.181</w:t>
                  </w:r>
                </w:p>
              </w:tc>
              <w:tc>
                <w:tcPr>
                  <w:tcW w:w="897" w:type="dxa"/>
                  <w:vMerge w:val="restart"/>
                  <w:tcBorders>
                    <w:tl2br w:val="nil"/>
                    <w:tr2bl w:val="nil"/>
                  </w:tcBorders>
                  <w:noWrap w:val="0"/>
                  <w:vAlign w:val="center"/>
                </w:tcPr>
                <w:p w14:paraId="18CD2D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1.0</w:t>
                  </w:r>
                </w:p>
              </w:tc>
              <w:tc>
                <w:tcPr>
                  <w:tcW w:w="920" w:type="dxa"/>
                  <w:tcBorders>
                    <w:tl2br w:val="nil"/>
                    <w:tr2bl w:val="nil"/>
                  </w:tcBorders>
                  <w:noWrap w:val="0"/>
                  <w:vAlign w:val="center"/>
                </w:tcPr>
                <w:p w14:paraId="48A042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40FB7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383" w:type="dxa"/>
                  <w:tcBorders>
                    <w:tl2br w:val="nil"/>
                    <w:tr2bl w:val="nil"/>
                  </w:tcBorders>
                  <w:shd w:val="clear" w:color="auto" w:fill="auto"/>
                  <w:noWrap w:val="0"/>
                  <w:vAlign w:val="center"/>
                </w:tcPr>
                <w:p w14:paraId="3FEF4C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cs="Times New Roman" w:eastAsiaTheme="maj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default" w:ascii="Times New Roman" w:hAnsi="Times New Roman" w:cs="Times New Roman" w:eastAsiaTheme="majorEastAsia"/>
                      <w:color w:val="000000" w:themeColor="text1"/>
                      <w:sz w:val="21"/>
                      <w:szCs w:val="21"/>
                      <w:lang w:val="en-US" w:eastAsia="zh-CN"/>
                      <w14:textFill>
                        <w14:solidFill>
                          <w14:schemeClr w14:val="tx1"/>
                        </w14:solidFill>
                      </w14:textFill>
                    </w:rPr>
                    <w:t>2</w:t>
                  </w:r>
                  <w:r>
                    <w:rPr>
                      <w:rFonts w:hint="default" w:ascii="Times New Roman" w:hAnsi="Times New Roman" w:cs="Times New Roman" w:eastAsiaTheme="majorEastAsia"/>
                      <w:color w:val="000000" w:themeColor="text1"/>
                      <w:sz w:val="21"/>
                      <w:szCs w:val="21"/>
                      <w14:textFill>
                        <w14:solidFill>
                          <w14:schemeClr w14:val="tx1"/>
                        </w14:solidFill>
                      </w14:textFill>
                    </w:rPr>
                    <w:t>厂界下风向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东南</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continue"/>
                  <w:tcBorders>
                    <w:tl2br w:val="nil"/>
                    <w:tr2bl w:val="nil"/>
                  </w:tcBorders>
                  <w:noWrap w:val="0"/>
                  <w:vAlign w:val="center"/>
                </w:tcPr>
                <w:p w14:paraId="2FF9BF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color w:val="000000" w:themeColor="text1"/>
                      <w:sz w:val="21"/>
                      <w:szCs w:val="21"/>
                      <w14:textFill>
                        <w14:solidFill>
                          <w14:schemeClr w14:val="tx1"/>
                        </w14:solidFill>
                      </w14:textFill>
                    </w:rPr>
                  </w:pPr>
                </w:p>
              </w:tc>
              <w:tc>
                <w:tcPr>
                  <w:tcW w:w="1019" w:type="dxa"/>
                  <w:tcBorders>
                    <w:tl2br w:val="nil"/>
                    <w:tr2bl w:val="nil"/>
                  </w:tcBorders>
                  <w:shd w:val="clear" w:color="auto" w:fill="auto"/>
                  <w:noWrap w:val="0"/>
                  <w:vAlign w:val="center"/>
                </w:tcPr>
                <w:p w14:paraId="6B8A638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0.185</w:t>
                  </w:r>
                </w:p>
              </w:tc>
              <w:tc>
                <w:tcPr>
                  <w:tcW w:w="1021" w:type="dxa"/>
                  <w:tcBorders>
                    <w:tl2br w:val="nil"/>
                    <w:tr2bl w:val="nil"/>
                  </w:tcBorders>
                  <w:shd w:val="clear" w:color="auto" w:fill="auto"/>
                  <w:noWrap w:val="0"/>
                  <w:vAlign w:val="center"/>
                </w:tcPr>
                <w:p w14:paraId="3B8E941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0.192</w:t>
                  </w:r>
                </w:p>
              </w:tc>
              <w:tc>
                <w:tcPr>
                  <w:tcW w:w="1022" w:type="dxa"/>
                  <w:tcBorders>
                    <w:tl2br w:val="nil"/>
                    <w:tr2bl w:val="nil"/>
                  </w:tcBorders>
                  <w:shd w:val="clear" w:color="auto" w:fill="auto"/>
                  <w:noWrap w:val="0"/>
                  <w:vAlign w:val="center"/>
                </w:tcPr>
                <w:p w14:paraId="1D38F2A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0.194</w:t>
                  </w:r>
                </w:p>
              </w:tc>
              <w:tc>
                <w:tcPr>
                  <w:tcW w:w="897" w:type="dxa"/>
                  <w:vMerge w:val="continue"/>
                  <w:tcBorders>
                    <w:tl2br w:val="nil"/>
                    <w:tr2bl w:val="nil"/>
                  </w:tcBorders>
                  <w:noWrap w:val="0"/>
                  <w:vAlign w:val="center"/>
                </w:tcPr>
                <w:p w14:paraId="3DB9D7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p>
              </w:tc>
              <w:tc>
                <w:tcPr>
                  <w:tcW w:w="920" w:type="dxa"/>
                  <w:tcBorders>
                    <w:tl2br w:val="nil"/>
                    <w:tr2bl w:val="nil"/>
                  </w:tcBorders>
                  <w:noWrap w:val="0"/>
                  <w:vAlign w:val="center"/>
                </w:tcPr>
                <w:p w14:paraId="69D32C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119C9F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383" w:type="dxa"/>
                  <w:tcBorders>
                    <w:tl2br w:val="nil"/>
                    <w:tr2bl w:val="nil"/>
                  </w:tcBorders>
                  <w:shd w:val="clear" w:color="auto" w:fill="auto"/>
                  <w:noWrap w:val="0"/>
                  <w:vAlign w:val="center"/>
                </w:tcPr>
                <w:p w14:paraId="52C621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cs="Times New Roman" w:eastAsiaTheme="maj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default" w:ascii="Times New Roman" w:hAnsi="Times New Roman" w:cs="Times New Roman" w:eastAsiaTheme="majorEastAsia"/>
                      <w:color w:val="000000" w:themeColor="text1"/>
                      <w:sz w:val="21"/>
                      <w:szCs w:val="21"/>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1"/>
                      <w:szCs w:val="21"/>
                      <w14:textFill>
                        <w14:solidFill>
                          <w14:schemeClr w14:val="tx1"/>
                        </w14:solidFill>
                      </w14:textFill>
                    </w:rPr>
                    <w:t>厂界下风向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南</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continue"/>
                  <w:tcBorders>
                    <w:tl2br w:val="nil"/>
                    <w:tr2bl w:val="nil"/>
                  </w:tcBorders>
                  <w:noWrap w:val="0"/>
                  <w:vAlign w:val="center"/>
                </w:tcPr>
                <w:p w14:paraId="711445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color w:val="000000" w:themeColor="text1"/>
                      <w:sz w:val="21"/>
                      <w:szCs w:val="21"/>
                      <w14:textFill>
                        <w14:solidFill>
                          <w14:schemeClr w14:val="tx1"/>
                        </w14:solidFill>
                      </w14:textFill>
                    </w:rPr>
                  </w:pPr>
                </w:p>
              </w:tc>
              <w:tc>
                <w:tcPr>
                  <w:tcW w:w="1019" w:type="dxa"/>
                  <w:tcBorders>
                    <w:tl2br w:val="nil"/>
                    <w:tr2bl w:val="nil"/>
                  </w:tcBorders>
                  <w:shd w:val="clear" w:color="auto" w:fill="auto"/>
                  <w:noWrap w:val="0"/>
                  <w:vAlign w:val="center"/>
                </w:tcPr>
                <w:p w14:paraId="4F0F6DA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0.195</w:t>
                  </w:r>
                </w:p>
              </w:tc>
              <w:tc>
                <w:tcPr>
                  <w:tcW w:w="1021" w:type="dxa"/>
                  <w:tcBorders>
                    <w:tl2br w:val="nil"/>
                    <w:tr2bl w:val="nil"/>
                  </w:tcBorders>
                  <w:shd w:val="clear" w:color="auto" w:fill="auto"/>
                  <w:noWrap w:val="0"/>
                  <w:vAlign w:val="center"/>
                </w:tcPr>
                <w:p w14:paraId="73D735A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0.202</w:t>
                  </w:r>
                </w:p>
              </w:tc>
              <w:tc>
                <w:tcPr>
                  <w:tcW w:w="1022" w:type="dxa"/>
                  <w:tcBorders>
                    <w:tl2br w:val="nil"/>
                    <w:tr2bl w:val="nil"/>
                  </w:tcBorders>
                  <w:shd w:val="clear" w:color="auto" w:fill="auto"/>
                  <w:noWrap w:val="0"/>
                  <w:vAlign w:val="center"/>
                </w:tcPr>
                <w:p w14:paraId="0DCA7E1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0.203</w:t>
                  </w:r>
                </w:p>
              </w:tc>
              <w:tc>
                <w:tcPr>
                  <w:tcW w:w="897" w:type="dxa"/>
                  <w:vMerge w:val="continue"/>
                  <w:tcBorders>
                    <w:tl2br w:val="nil"/>
                    <w:tr2bl w:val="nil"/>
                  </w:tcBorders>
                  <w:noWrap w:val="0"/>
                  <w:vAlign w:val="center"/>
                </w:tcPr>
                <w:p w14:paraId="4ECD5E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p>
              </w:tc>
              <w:tc>
                <w:tcPr>
                  <w:tcW w:w="920" w:type="dxa"/>
                  <w:tcBorders>
                    <w:tl2br w:val="nil"/>
                    <w:tr2bl w:val="nil"/>
                  </w:tcBorders>
                  <w:noWrap w:val="0"/>
                  <w:vAlign w:val="center"/>
                </w:tcPr>
                <w:p w14:paraId="25CDA0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06CFC8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383" w:type="dxa"/>
                  <w:tcBorders>
                    <w:tl2br w:val="nil"/>
                    <w:tr2bl w:val="nil"/>
                  </w:tcBorders>
                  <w:shd w:val="clear" w:color="auto" w:fill="auto"/>
                  <w:noWrap w:val="0"/>
                  <w:vAlign w:val="center"/>
                </w:tcPr>
                <w:p w14:paraId="2FD19B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eastAsia" w:ascii="Times New Roman" w:hAnsi="Times New Roman" w:cs="Times New Roman"/>
                      <w:color w:val="000000" w:themeColor="text1"/>
                      <w:sz w:val="21"/>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1"/>
                      <w:szCs w:val="21"/>
                      <w14:textFill>
                        <w14:solidFill>
                          <w14:schemeClr w14:val="tx1"/>
                        </w14:solidFill>
                      </w14:textFill>
                    </w:rPr>
                    <w:t>厂界下风向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西南</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continue"/>
                  <w:tcBorders>
                    <w:tl2br w:val="nil"/>
                    <w:tr2bl w:val="nil"/>
                  </w:tcBorders>
                  <w:noWrap w:val="0"/>
                  <w:vAlign w:val="center"/>
                </w:tcPr>
                <w:p w14:paraId="769237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color w:val="000000" w:themeColor="text1"/>
                      <w:sz w:val="21"/>
                      <w:szCs w:val="21"/>
                      <w14:textFill>
                        <w14:solidFill>
                          <w14:schemeClr w14:val="tx1"/>
                        </w14:solidFill>
                      </w14:textFill>
                    </w:rPr>
                  </w:pPr>
                </w:p>
              </w:tc>
              <w:tc>
                <w:tcPr>
                  <w:tcW w:w="1019" w:type="dxa"/>
                  <w:tcBorders>
                    <w:tl2br w:val="nil"/>
                    <w:tr2bl w:val="nil"/>
                  </w:tcBorders>
                  <w:shd w:val="clear" w:color="auto" w:fill="auto"/>
                  <w:noWrap w:val="0"/>
                  <w:vAlign w:val="center"/>
                </w:tcPr>
                <w:p w14:paraId="53BE65B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0.197</w:t>
                  </w:r>
                </w:p>
              </w:tc>
              <w:tc>
                <w:tcPr>
                  <w:tcW w:w="1021" w:type="dxa"/>
                  <w:tcBorders>
                    <w:tl2br w:val="nil"/>
                    <w:tr2bl w:val="nil"/>
                  </w:tcBorders>
                  <w:shd w:val="clear" w:color="auto" w:fill="auto"/>
                  <w:noWrap w:val="0"/>
                  <w:vAlign w:val="center"/>
                </w:tcPr>
                <w:p w14:paraId="218058C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0.199</w:t>
                  </w:r>
                </w:p>
              </w:tc>
              <w:tc>
                <w:tcPr>
                  <w:tcW w:w="1022" w:type="dxa"/>
                  <w:tcBorders>
                    <w:tl2br w:val="nil"/>
                    <w:tr2bl w:val="nil"/>
                  </w:tcBorders>
                  <w:shd w:val="clear" w:color="auto" w:fill="auto"/>
                  <w:noWrap w:val="0"/>
                  <w:vAlign w:val="center"/>
                </w:tcPr>
                <w:p w14:paraId="07EB201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0.190</w:t>
                  </w:r>
                </w:p>
              </w:tc>
              <w:tc>
                <w:tcPr>
                  <w:tcW w:w="897" w:type="dxa"/>
                  <w:vMerge w:val="continue"/>
                  <w:tcBorders>
                    <w:tl2br w:val="nil"/>
                    <w:tr2bl w:val="nil"/>
                  </w:tcBorders>
                  <w:noWrap w:val="0"/>
                  <w:vAlign w:val="center"/>
                </w:tcPr>
                <w:p w14:paraId="207484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p>
              </w:tc>
              <w:tc>
                <w:tcPr>
                  <w:tcW w:w="920" w:type="dxa"/>
                  <w:tcBorders>
                    <w:tl2br w:val="nil"/>
                    <w:tr2bl w:val="nil"/>
                  </w:tcBorders>
                  <w:noWrap w:val="0"/>
                  <w:vAlign w:val="center"/>
                </w:tcPr>
                <w:p w14:paraId="0AE55A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2B5AC0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383" w:type="dxa"/>
                  <w:tcBorders>
                    <w:tl2br w:val="nil"/>
                    <w:tr2bl w:val="nil"/>
                  </w:tcBorders>
                  <w:shd w:val="clear" w:color="auto" w:fill="auto"/>
                  <w:noWrap w:val="0"/>
                  <w:vAlign w:val="center"/>
                </w:tcPr>
                <w:p w14:paraId="161BD4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cs="Times New Roman" w:eastAsiaTheme="maj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default" w:ascii="Times New Roman" w:hAnsi="Times New Roman" w:cs="Times New Roman" w:eastAsiaTheme="majorEastAsia"/>
                      <w:color w:val="000000" w:themeColor="text1"/>
                      <w:sz w:val="21"/>
                      <w:szCs w:val="21"/>
                      <w:lang w:val="en-US" w:eastAsia="zh-CN"/>
                      <w14:textFill>
                        <w14:solidFill>
                          <w14:schemeClr w14:val="tx1"/>
                        </w14:solidFill>
                      </w14:textFill>
                    </w:rPr>
                    <w:t>1</w:t>
                  </w:r>
                  <w:r>
                    <w:rPr>
                      <w:rFonts w:hint="default" w:ascii="Times New Roman" w:hAnsi="Times New Roman" w:cs="Times New Roman" w:eastAsiaTheme="majorEastAsia"/>
                      <w:color w:val="000000" w:themeColor="text1"/>
                      <w:sz w:val="21"/>
                      <w:szCs w:val="21"/>
                      <w14:textFill>
                        <w14:solidFill>
                          <w14:schemeClr w14:val="tx1"/>
                        </w14:solidFill>
                      </w14:textFill>
                    </w:rPr>
                    <w:t>厂界</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上</w:t>
                  </w:r>
                  <w:r>
                    <w:rPr>
                      <w:rFonts w:hint="default" w:ascii="Times New Roman" w:hAnsi="Times New Roman" w:cs="Times New Roman" w:eastAsiaTheme="majorEastAsia"/>
                      <w:color w:val="000000" w:themeColor="text1"/>
                      <w:sz w:val="21"/>
                      <w:szCs w:val="21"/>
                      <w14:textFill>
                        <w14:solidFill>
                          <w14:schemeClr w14:val="tx1"/>
                        </w14:solidFill>
                      </w14:textFill>
                    </w:rPr>
                    <w:t>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西南</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restart"/>
                  <w:tcBorders>
                    <w:tl2br w:val="nil"/>
                    <w:tr2bl w:val="nil"/>
                  </w:tcBorders>
                  <w:shd w:val="clear" w:color="auto" w:fill="auto"/>
                  <w:noWrap w:val="0"/>
                  <w:vAlign w:val="center"/>
                </w:tcPr>
                <w:p w14:paraId="3743E5F1">
                  <w:pPr>
                    <w:snapToGrid w:val="0"/>
                    <w:spacing w:line="300" w:lineRule="exact"/>
                    <w:jc w:val="center"/>
                    <w:rPr>
                      <w:rFonts w:hint="default" w:ascii="Times New Roman" w:hAnsi="Times New Roman" w:cs="Times New Roman" w:eastAsiaTheme="maj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sz w:val="21"/>
                      <w:szCs w:val="21"/>
                      <w:lang w:val="en-US" w:eastAsia="zh-CN"/>
                    </w:rPr>
                    <w:t>2026.7.3</w:t>
                  </w:r>
                </w:p>
              </w:tc>
              <w:tc>
                <w:tcPr>
                  <w:tcW w:w="1019" w:type="dxa"/>
                  <w:tcBorders>
                    <w:tl2br w:val="nil"/>
                    <w:tr2bl w:val="nil"/>
                  </w:tcBorders>
                  <w:shd w:val="clear" w:color="auto" w:fill="auto"/>
                  <w:noWrap w:val="0"/>
                  <w:vAlign w:val="center"/>
                </w:tcPr>
                <w:p w14:paraId="23660B6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0.174</w:t>
                  </w:r>
                </w:p>
              </w:tc>
              <w:tc>
                <w:tcPr>
                  <w:tcW w:w="1021" w:type="dxa"/>
                  <w:tcBorders>
                    <w:tl2br w:val="nil"/>
                    <w:tr2bl w:val="nil"/>
                  </w:tcBorders>
                  <w:shd w:val="clear" w:color="auto" w:fill="auto"/>
                  <w:noWrap w:val="0"/>
                  <w:vAlign w:val="center"/>
                </w:tcPr>
                <w:p w14:paraId="46D3004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0.177</w:t>
                  </w:r>
                </w:p>
              </w:tc>
              <w:tc>
                <w:tcPr>
                  <w:tcW w:w="1022" w:type="dxa"/>
                  <w:tcBorders>
                    <w:tl2br w:val="nil"/>
                    <w:tr2bl w:val="nil"/>
                  </w:tcBorders>
                  <w:shd w:val="clear" w:color="auto" w:fill="auto"/>
                  <w:noWrap w:val="0"/>
                  <w:vAlign w:val="center"/>
                </w:tcPr>
                <w:p w14:paraId="794137A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0.179</w:t>
                  </w:r>
                </w:p>
              </w:tc>
              <w:tc>
                <w:tcPr>
                  <w:tcW w:w="897" w:type="dxa"/>
                  <w:vMerge w:val="continue"/>
                  <w:tcBorders>
                    <w:tl2br w:val="nil"/>
                    <w:tr2bl w:val="nil"/>
                  </w:tcBorders>
                  <w:noWrap w:val="0"/>
                  <w:vAlign w:val="center"/>
                </w:tcPr>
                <w:p w14:paraId="3EF5BA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p>
              </w:tc>
              <w:tc>
                <w:tcPr>
                  <w:tcW w:w="920" w:type="dxa"/>
                  <w:tcBorders>
                    <w:tl2br w:val="nil"/>
                    <w:tr2bl w:val="nil"/>
                  </w:tcBorders>
                  <w:noWrap w:val="0"/>
                  <w:vAlign w:val="center"/>
                </w:tcPr>
                <w:p w14:paraId="26ADBF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68CDE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383" w:type="dxa"/>
                  <w:tcBorders>
                    <w:tl2br w:val="nil"/>
                    <w:tr2bl w:val="nil"/>
                  </w:tcBorders>
                  <w:shd w:val="clear" w:color="auto" w:fill="auto"/>
                  <w:noWrap w:val="0"/>
                  <w:vAlign w:val="center"/>
                </w:tcPr>
                <w:p w14:paraId="1D62BA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cs="Times New Roman" w:eastAsiaTheme="maj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default" w:ascii="Times New Roman" w:hAnsi="Times New Roman" w:cs="Times New Roman" w:eastAsiaTheme="majorEastAsia"/>
                      <w:color w:val="000000" w:themeColor="text1"/>
                      <w:sz w:val="21"/>
                      <w:szCs w:val="21"/>
                      <w:lang w:val="en-US" w:eastAsia="zh-CN"/>
                      <w14:textFill>
                        <w14:solidFill>
                          <w14:schemeClr w14:val="tx1"/>
                        </w14:solidFill>
                      </w14:textFill>
                    </w:rPr>
                    <w:t>2</w:t>
                  </w:r>
                  <w:r>
                    <w:rPr>
                      <w:rFonts w:hint="default" w:ascii="Times New Roman" w:hAnsi="Times New Roman" w:cs="Times New Roman" w:eastAsiaTheme="majorEastAsia"/>
                      <w:color w:val="000000" w:themeColor="text1"/>
                      <w:sz w:val="21"/>
                      <w:szCs w:val="21"/>
                      <w14:textFill>
                        <w14:solidFill>
                          <w14:schemeClr w14:val="tx1"/>
                        </w14:solidFill>
                      </w14:textFill>
                    </w:rPr>
                    <w:t>厂界下风向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东南</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continue"/>
                  <w:tcBorders>
                    <w:tl2br w:val="nil"/>
                    <w:tr2bl w:val="nil"/>
                  </w:tcBorders>
                  <w:noWrap w:val="0"/>
                  <w:vAlign w:val="center"/>
                </w:tcPr>
                <w:p w14:paraId="4963BC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color w:val="000000" w:themeColor="text1"/>
                      <w:sz w:val="21"/>
                      <w:szCs w:val="21"/>
                      <w14:textFill>
                        <w14:solidFill>
                          <w14:schemeClr w14:val="tx1"/>
                        </w14:solidFill>
                      </w14:textFill>
                    </w:rPr>
                  </w:pPr>
                </w:p>
              </w:tc>
              <w:tc>
                <w:tcPr>
                  <w:tcW w:w="1019" w:type="dxa"/>
                  <w:tcBorders>
                    <w:tl2br w:val="nil"/>
                    <w:tr2bl w:val="nil"/>
                  </w:tcBorders>
                  <w:shd w:val="clear" w:color="auto" w:fill="auto"/>
                  <w:noWrap w:val="0"/>
                  <w:vAlign w:val="center"/>
                </w:tcPr>
                <w:p w14:paraId="39AE98F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0.187</w:t>
                  </w:r>
                </w:p>
              </w:tc>
              <w:tc>
                <w:tcPr>
                  <w:tcW w:w="1021" w:type="dxa"/>
                  <w:tcBorders>
                    <w:tl2br w:val="nil"/>
                    <w:tr2bl w:val="nil"/>
                  </w:tcBorders>
                  <w:shd w:val="clear" w:color="auto" w:fill="auto"/>
                  <w:noWrap w:val="0"/>
                  <w:vAlign w:val="center"/>
                </w:tcPr>
                <w:p w14:paraId="19C2E57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0.195</w:t>
                  </w:r>
                </w:p>
              </w:tc>
              <w:tc>
                <w:tcPr>
                  <w:tcW w:w="1022" w:type="dxa"/>
                  <w:tcBorders>
                    <w:tl2br w:val="nil"/>
                    <w:tr2bl w:val="nil"/>
                  </w:tcBorders>
                  <w:shd w:val="clear" w:color="auto" w:fill="auto"/>
                  <w:noWrap w:val="0"/>
                  <w:vAlign w:val="center"/>
                </w:tcPr>
                <w:p w14:paraId="13DD46E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0.200</w:t>
                  </w:r>
                </w:p>
              </w:tc>
              <w:tc>
                <w:tcPr>
                  <w:tcW w:w="897" w:type="dxa"/>
                  <w:vMerge w:val="continue"/>
                  <w:tcBorders>
                    <w:tl2br w:val="nil"/>
                    <w:tr2bl w:val="nil"/>
                  </w:tcBorders>
                  <w:noWrap w:val="0"/>
                  <w:vAlign w:val="center"/>
                </w:tcPr>
                <w:p w14:paraId="127B3A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p>
              </w:tc>
              <w:tc>
                <w:tcPr>
                  <w:tcW w:w="920" w:type="dxa"/>
                  <w:tcBorders>
                    <w:tl2br w:val="nil"/>
                    <w:tr2bl w:val="nil"/>
                  </w:tcBorders>
                  <w:noWrap w:val="0"/>
                  <w:vAlign w:val="center"/>
                </w:tcPr>
                <w:p w14:paraId="3E7EE3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400208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383" w:type="dxa"/>
                  <w:tcBorders>
                    <w:tl2br w:val="nil"/>
                    <w:tr2bl w:val="nil"/>
                  </w:tcBorders>
                  <w:shd w:val="clear" w:color="auto" w:fill="auto"/>
                  <w:noWrap w:val="0"/>
                  <w:vAlign w:val="center"/>
                </w:tcPr>
                <w:p w14:paraId="458C9F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cs="Times New Roman" w:eastAsiaTheme="maj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default" w:ascii="Times New Roman" w:hAnsi="Times New Roman" w:cs="Times New Roman" w:eastAsiaTheme="majorEastAsia"/>
                      <w:color w:val="000000" w:themeColor="text1"/>
                      <w:sz w:val="21"/>
                      <w:szCs w:val="21"/>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1"/>
                      <w:szCs w:val="21"/>
                      <w14:textFill>
                        <w14:solidFill>
                          <w14:schemeClr w14:val="tx1"/>
                        </w14:solidFill>
                      </w14:textFill>
                    </w:rPr>
                    <w:t>厂界下风向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东</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continue"/>
                  <w:tcBorders>
                    <w:tl2br w:val="nil"/>
                    <w:tr2bl w:val="nil"/>
                  </w:tcBorders>
                  <w:noWrap w:val="0"/>
                  <w:vAlign w:val="center"/>
                </w:tcPr>
                <w:p w14:paraId="10B486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color w:val="000000" w:themeColor="text1"/>
                      <w:sz w:val="21"/>
                      <w:szCs w:val="21"/>
                      <w14:textFill>
                        <w14:solidFill>
                          <w14:schemeClr w14:val="tx1"/>
                        </w14:solidFill>
                      </w14:textFill>
                    </w:rPr>
                  </w:pPr>
                </w:p>
              </w:tc>
              <w:tc>
                <w:tcPr>
                  <w:tcW w:w="1019" w:type="dxa"/>
                  <w:tcBorders>
                    <w:tl2br w:val="nil"/>
                    <w:tr2bl w:val="nil"/>
                  </w:tcBorders>
                  <w:shd w:val="clear" w:color="auto" w:fill="auto"/>
                  <w:noWrap w:val="0"/>
                  <w:vAlign w:val="center"/>
                </w:tcPr>
                <w:p w14:paraId="60B0D19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0.194</w:t>
                  </w:r>
                </w:p>
              </w:tc>
              <w:tc>
                <w:tcPr>
                  <w:tcW w:w="1021" w:type="dxa"/>
                  <w:tcBorders>
                    <w:tl2br w:val="nil"/>
                    <w:tr2bl w:val="nil"/>
                  </w:tcBorders>
                  <w:shd w:val="clear" w:color="auto" w:fill="auto"/>
                  <w:noWrap w:val="0"/>
                  <w:vAlign w:val="center"/>
                </w:tcPr>
                <w:p w14:paraId="3CE0421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0.199</w:t>
                  </w:r>
                </w:p>
              </w:tc>
              <w:tc>
                <w:tcPr>
                  <w:tcW w:w="1022" w:type="dxa"/>
                  <w:tcBorders>
                    <w:tl2br w:val="nil"/>
                    <w:tr2bl w:val="nil"/>
                  </w:tcBorders>
                  <w:shd w:val="clear" w:color="auto" w:fill="auto"/>
                  <w:noWrap w:val="0"/>
                  <w:vAlign w:val="center"/>
                </w:tcPr>
                <w:p w14:paraId="5782B73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0.202</w:t>
                  </w:r>
                </w:p>
              </w:tc>
              <w:tc>
                <w:tcPr>
                  <w:tcW w:w="897" w:type="dxa"/>
                  <w:vMerge w:val="continue"/>
                  <w:tcBorders>
                    <w:tl2br w:val="nil"/>
                    <w:tr2bl w:val="nil"/>
                  </w:tcBorders>
                  <w:noWrap w:val="0"/>
                  <w:vAlign w:val="center"/>
                </w:tcPr>
                <w:p w14:paraId="29FBE8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p>
              </w:tc>
              <w:tc>
                <w:tcPr>
                  <w:tcW w:w="920" w:type="dxa"/>
                  <w:tcBorders>
                    <w:tl2br w:val="nil"/>
                    <w:tr2bl w:val="nil"/>
                  </w:tcBorders>
                  <w:noWrap w:val="0"/>
                  <w:vAlign w:val="center"/>
                </w:tcPr>
                <w:p w14:paraId="234C8E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r w14:paraId="693C9F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383" w:type="dxa"/>
                  <w:tcBorders>
                    <w:tl2br w:val="nil"/>
                    <w:tr2bl w:val="nil"/>
                  </w:tcBorders>
                  <w:shd w:val="clear" w:color="auto" w:fill="auto"/>
                  <w:noWrap w:val="0"/>
                  <w:vAlign w:val="center"/>
                </w:tcPr>
                <w:p w14:paraId="6E1D47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〇</w:t>
                  </w:r>
                  <w:r>
                    <w:rPr>
                      <w:rFonts w:hint="eastAsia" w:ascii="Times New Roman" w:hAnsi="Times New Roman" w:cs="Times New Roman"/>
                      <w:color w:val="000000" w:themeColor="text1"/>
                      <w:sz w:val="21"/>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1"/>
                      <w:szCs w:val="21"/>
                      <w14:textFill>
                        <w14:solidFill>
                          <w14:schemeClr w14:val="tx1"/>
                        </w14:solidFill>
                      </w14:textFill>
                    </w:rPr>
                    <w:t>厂界下风向</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r>
                    <w:rPr>
                      <w:rFonts w:hint="eastAsia" w:ascii="Times New Roman" w:hAnsi="Times New Roman" w:cs="Times New Roman" w:eastAsiaTheme="majorEastAsia"/>
                      <w:color w:val="000000" w:themeColor="text1"/>
                      <w:sz w:val="21"/>
                      <w:szCs w:val="21"/>
                      <w:lang w:val="en-US" w:eastAsia="zh-CN"/>
                      <w14:textFill>
                        <w14:solidFill>
                          <w14:schemeClr w14:val="tx1"/>
                        </w14:solidFill>
                      </w14:textFill>
                    </w:rPr>
                    <w:t>东北</w:t>
                  </w:r>
                  <w:r>
                    <w:rPr>
                      <w:rFonts w:hint="default" w:ascii="Times New Roman" w:hAnsi="Times New Roman" w:cs="Times New Roman" w:eastAsiaTheme="majorEastAsia"/>
                      <w:color w:val="000000" w:themeColor="text1"/>
                      <w:sz w:val="21"/>
                      <w:szCs w:val="21"/>
                      <w:lang w:eastAsia="zh-CN"/>
                      <w14:textFill>
                        <w14:solidFill>
                          <w14:schemeClr w14:val="tx1"/>
                        </w14:solidFill>
                      </w14:textFill>
                    </w:rPr>
                    <w:t>）</w:t>
                  </w:r>
                </w:p>
              </w:tc>
              <w:tc>
                <w:tcPr>
                  <w:tcW w:w="1196" w:type="dxa"/>
                  <w:vMerge w:val="continue"/>
                  <w:tcBorders>
                    <w:tl2br w:val="nil"/>
                    <w:tr2bl w:val="nil"/>
                  </w:tcBorders>
                  <w:noWrap w:val="0"/>
                  <w:vAlign w:val="center"/>
                </w:tcPr>
                <w:p w14:paraId="258DBD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color w:val="000000" w:themeColor="text1"/>
                      <w:sz w:val="21"/>
                      <w:szCs w:val="21"/>
                      <w14:textFill>
                        <w14:solidFill>
                          <w14:schemeClr w14:val="tx1"/>
                        </w14:solidFill>
                      </w14:textFill>
                    </w:rPr>
                  </w:pPr>
                </w:p>
              </w:tc>
              <w:tc>
                <w:tcPr>
                  <w:tcW w:w="1019" w:type="dxa"/>
                  <w:tcBorders>
                    <w:tl2br w:val="nil"/>
                    <w:tr2bl w:val="nil"/>
                  </w:tcBorders>
                  <w:shd w:val="clear" w:color="auto" w:fill="auto"/>
                  <w:noWrap w:val="0"/>
                  <w:vAlign w:val="center"/>
                </w:tcPr>
                <w:p w14:paraId="2663608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0.190</w:t>
                  </w:r>
                </w:p>
              </w:tc>
              <w:tc>
                <w:tcPr>
                  <w:tcW w:w="1021" w:type="dxa"/>
                  <w:tcBorders>
                    <w:tl2br w:val="nil"/>
                    <w:tr2bl w:val="nil"/>
                  </w:tcBorders>
                  <w:shd w:val="clear" w:color="auto" w:fill="auto"/>
                  <w:noWrap w:val="0"/>
                  <w:vAlign w:val="center"/>
                </w:tcPr>
                <w:p w14:paraId="69A19F4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0.192</w:t>
                  </w:r>
                </w:p>
              </w:tc>
              <w:tc>
                <w:tcPr>
                  <w:tcW w:w="1022" w:type="dxa"/>
                  <w:tcBorders>
                    <w:tl2br w:val="nil"/>
                    <w:tr2bl w:val="nil"/>
                  </w:tcBorders>
                  <w:shd w:val="clear" w:color="auto" w:fill="auto"/>
                  <w:noWrap w:val="0"/>
                  <w:vAlign w:val="center"/>
                </w:tcPr>
                <w:p w14:paraId="754D608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top"/>
                    <w:rPr>
                      <w:rFonts w:hint="default"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0.194</w:t>
                  </w:r>
                </w:p>
              </w:tc>
              <w:tc>
                <w:tcPr>
                  <w:tcW w:w="897" w:type="dxa"/>
                  <w:vMerge w:val="continue"/>
                  <w:tcBorders>
                    <w:tl2br w:val="nil"/>
                    <w:tr2bl w:val="nil"/>
                  </w:tcBorders>
                  <w:noWrap w:val="0"/>
                  <w:vAlign w:val="center"/>
                </w:tcPr>
                <w:p w14:paraId="49356C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p>
              </w:tc>
              <w:tc>
                <w:tcPr>
                  <w:tcW w:w="920" w:type="dxa"/>
                  <w:tcBorders>
                    <w:tl2br w:val="nil"/>
                    <w:tr2bl w:val="nil"/>
                  </w:tcBorders>
                  <w:noWrap w:val="0"/>
                  <w:vAlign w:val="center"/>
                </w:tcPr>
                <w:p w14:paraId="56E75C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ajorEastAsia"/>
                      <w:sz w:val="21"/>
                      <w:szCs w:val="21"/>
                      <w:lang w:val="en-US" w:eastAsia="zh-CN"/>
                    </w:rPr>
                  </w:pPr>
                  <w:r>
                    <w:rPr>
                      <w:rFonts w:hint="default" w:ascii="Times New Roman" w:hAnsi="Times New Roman" w:cs="Times New Roman" w:eastAsiaTheme="majorEastAsia"/>
                      <w:sz w:val="21"/>
                      <w:szCs w:val="21"/>
                      <w:lang w:val="en-US" w:eastAsia="zh-CN"/>
                    </w:rPr>
                    <w:t>达标</w:t>
                  </w:r>
                </w:p>
              </w:tc>
            </w:tr>
          </w:tbl>
          <w:p w14:paraId="18BF2489">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u w:val="none"/>
                <w:lang w:eastAsia="zh-CN"/>
              </w:rPr>
            </w:pPr>
            <w:r>
              <w:rPr>
                <w:rFonts w:hint="default" w:ascii="Times New Roman" w:hAnsi="Times New Roman" w:cs="Times New Roman"/>
                <w:sz w:val="24"/>
                <w:szCs w:val="24"/>
              </w:rPr>
              <w:t>监测结果</w:t>
            </w:r>
            <w:r>
              <w:rPr>
                <w:rFonts w:hint="default" w:ascii="Times New Roman" w:hAnsi="Times New Roman" w:cs="Times New Roman"/>
                <w:sz w:val="24"/>
                <w:szCs w:val="24"/>
                <w:lang w:eastAsia="zh-CN"/>
              </w:rPr>
              <w:t>表</w:t>
            </w:r>
            <w:r>
              <w:rPr>
                <w:rFonts w:hint="default" w:ascii="Times New Roman" w:hAnsi="Times New Roman" w:cs="Times New Roman"/>
                <w:sz w:val="24"/>
                <w:szCs w:val="24"/>
              </w:rPr>
              <w:t>明：项目厂界</w:t>
            </w:r>
            <w:r>
              <w:rPr>
                <w:rFonts w:hint="eastAsia" w:ascii="Times New Roman" w:hAnsi="Times New Roman" w:cs="Times New Roman"/>
                <w:sz w:val="24"/>
                <w:lang w:val="en-US" w:eastAsia="zh-CN"/>
              </w:rPr>
              <w:t>无组织颗粒物</w:t>
            </w:r>
            <w:r>
              <w:rPr>
                <w:rFonts w:hint="eastAsia" w:ascii="Times New Roman" w:hAnsi="Times New Roman" w:cs="Times New Roman"/>
                <w:sz w:val="24"/>
                <w:szCs w:val="24"/>
                <w:lang w:val="en-US" w:eastAsia="zh-CN"/>
              </w:rPr>
              <w:t>检测结果</w:t>
            </w:r>
            <w:r>
              <w:rPr>
                <w:rFonts w:hint="default" w:ascii="Times New Roman" w:hAnsi="Times New Roman" w:cs="Times New Roman"/>
                <w:sz w:val="24"/>
                <w:szCs w:val="24"/>
              </w:rPr>
              <w:t>满足《大气污染物综合排放标准》（GB16297-1996）表2中无组织排放标准。</w:t>
            </w:r>
          </w:p>
          <w:p w14:paraId="49CC954E">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textAlignment w:val="auto"/>
              <w:outlineLvl w:val="9"/>
              <w:rPr>
                <w:rFonts w:hint="default" w:ascii="Times New Roman" w:hAnsi="Times New Roman" w:cs="Times New Roman"/>
                <w:color w:val="auto"/>
                <w:sz w:val="24"/>
                <w:szCs w:val="24"/>
                <w:u w:val="none"/>
                <w:lang w:eastAsia="zh-CN"/>
              </w:rPr>
            </w:pPr>
            <w:r>
              <w:rPr>
                <w:rFonts w:hint="default" w:ascii="Times New Roman" w:hAnsi="Times New Roman" w:cs="Times New Roman"/>
                <w:color w:val="auto"/>
                <w:sz w:val="24"/>
                <w:szCs w:val="24"/>
                <w:u w:val="none"/>
                <w:lang w:eastAsia="zh-CN"/>
              </w:rPr>
              <w:t>（</w:t>
            </w:r>
            <w:r>
              <w:rPr>
                <w:rFonts w:hint="eastAsia" w:ascii="Times New Roman" w:hAnsi="Times New Roman" w:cs="Times New Roman"/>
                <w:color w:val="auto"/>
                <w:sz w:val="24"/>
                <w:szCs w:val="24"/>
                <w:u w:val="none"/>
                <w:lang w:val="en-US" w:eastAsia="zh-CN"/>
              </w:rPr>
              <w:t>2</w:t>
            </w:r>
            <w:r>
              <w:rPr>
                <w:rFonts w:hint="default" w:ascii="Times New Roman" w:hAnsi="Times New Roman" w:cs="Times New Roman"/>
                <w:color w:val="auto"/>
                <w:sz w:val="24"/>
                <w:szCs w:val="24"/>
                <w:u w:val="none"/>
                <w:lang w:eastAsia="zh-CN"/>
              </w:rPr>
              <w:t>）噪声监测结果</w:t>
            </w:r>
          </w:p>
          <w:p w14:paraId="409858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表7-</w:t>
            </w:r>
            <w:r>
              <w:rPr>
                <w:rFonts w:hint="eastAsia" w:ascii="Times New Roman" w:hAnsi="Times New Roman" w:cs="Times New Roman"/>
                <w:b/>
                <w:bCs/>
                <w:color w:val="000000" w:themeColor="text1"/>
                <w:sz w:val="21"/>
                <w:szCs w:val="21"/>
                <w:u w:val="none"/>
                <w:lang w:val="en-US" w:eastAsia="zh-CN"/>
                <w14:textFill>
                  <w14:solidFill>
                    <w14:schemeClr w14:val="tx1"/>
                  </w14:solidFill>
                </w14:textFill>
              </w:rPr>
              <w:t xml:space="preserve">5 </w:t>
            </w: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噪声监测结果</w:t>
            </w:r>
          </w:p>
          <w:tbl>
            <w:tblPr>
              <w:tblStyle w:val="24"/>
              <w:tblW w:w="834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40"/>
              <w:gridCol w:w="1432"/>
              <w:gridCol w:w="1433"/>
              <w:gridCol w:w="1267"/>
              <w:gridCol w:w="1268"/>
            </w:tblGrid>
            <w:tr w14:paraId="41D26B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40" w:type="dxa"/>
                  <w:gridSpan w:val="5"/>
                  <w:tcBorders>
                    <w:tl2br w:val="nil"/>
                    <w:tr2bl w:val="nil"/>
                  </w:tcBorders>
                  <w:noWrap w:val="0"/>
                  <w:vAlign w:val="center"/>
                </w:tcPr>
                <w:p w14:paraId="1DDD6449">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color w:val="auto"/>
                      <w:u w:val="none"/>
                    </w:rPr>
                  </w:pPr>
                  <w:r>
                    <w:rPr>
                      <w:rFonts w:hint="default" w:ascii="Times New Roman" w:hAnsi="Times New Roman" w:cs="Times New Roman"/>
                      <w:b/>
                      <w:bCs/>
                      <w:color w:val="auto"/>
                      <w:u w:val="none"/>
                    </w:rPr>
                    <w:t>监测类别：厂界噪声（单位dB（A））</w:t>
                  </w:r>
                </w:p>
              </w:tc>
            </w:tr>
            <w:tr w14:paraId="7AE4A3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940" w:type="dxa"/>
                  <w:vMerge w:val="restart"/>
                  <w:tcBorders>
                    <w:tl2br w:val="nil"/>
                    <w:tr2bl w:val="nil"/>
                  </w:tcBorders>
                  <w:noWrap w:val="0"/>
                  <w:vAlign w:val="center"/>
                </w:tcPr>
                <w:p w14:paraId="1E01970B">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color w:val="auto"/>
                      <w:u w:val="none"/>
                    </w:rPr>
                  </w:pPr>
                  <w:r>
                    <w:rPr>
                      <w:rFonts w:hint="default" w:ascii="Times New Roman" w:hAnsi="Times New Roman" w:cs="Times New Roman"/>
                      <w:b/>
                      <w:bCs/>
                      <w:color w:val="auto"/>
                      <w:u w:val="none"/>
                    </w:rPr>
                    <w:t>监测点位</w:t>
                  </w:r>
                </w:p>
              </w:tc>
              <w:tc>
                <w:tcPr>
                  <w:tcW w:w="2865" w:type="dxa"/>
                  <w:gridSpan w:val="2"/>
                  <w:tcBorders>
                    <w:tl2br w:val="nil"/>
                    <w:tr2bl w:val="nil"/>
                  </w:tcBorders>
                  <w:noWrap w:val="0"/>
                  <w:vAlign w:val="center"/>
                </w:tcPr>
                <w:p w14:paraId="10C09DC5">
                  <w:pPr>
                    <w:adjustRightInd w:val="0"/>
                    <w:snapToGrid w:val="0"/>
                    <w:jc w:val="center"/>
                    <w:rPr>
                      <w:rFonts w:hint="default" w:ascii="Times New Roman" w:hAnsi="Times New Roman" w:eastAsia="宋体" w:cs="Times New Roman"/>
                      <w:b/>
                      <w:bCs/>
                      <w:color w:val="auto"/>
                      <w:u w:val="none"/>
                      <w:lang w:val="en-US" w:eastAsia="zh-CN"/>
                    </w:rPr>
                  </w:pPr>
                  <w:r>
                    <w:rPr>
                      <w:rFonts w:hint="eastAsia" w:ascii="Times New Roman" w:hAnsi="Times New Roman" w:cs="Times New Roman"/>
                      <w:b/>
                      <w:bCs/>
                      <w:color w:val="auto"/>
                      <w:u w:val="none"/>
                      <w:lang w:val="en-US" w:eastAsia="zh-CN"/>
                    </w:rPr>
                    <w:t>2026.7.2</w:t>
                  </w:r>
                </w:p>
              </w:tc>
              <w:tc>
                <w:tcPr>
                  <w:tcW w:w="2535" w:type="dxa"/>
                  <w:gridSpan w:val="2"/>
                  <w:tcBorders>
                    <w:tl2br w:val="nil"/>
                    <w:tr2bl w:val="nil"/>
                  </w:tcBorders>
                  <w:noWrap w:val="0"/>
                  <w:vAlign w:val="center"/>
                </w:tcPr>
                <w:p w14:paraId="7AB5964E">
                  <w:pPr>
                    <w:adjustRightInd w:val="0"/>
                    <w:snapToGrid w:val="0"/>
                    <w:jc w:val="center"/>
                    <w:rPr>
                      <w:rFonts w:hint="default" w:ascii="Times New Roman" w:hAnsi="Times New Roman" w:eastAsia="宋体" w:cs="Times New Roman"/>
                      <w:b/>
                      <w:bCs/>
                      <w:color w:val="auto"/>
                      <w:u w:val="none"/>
                      <w:lang w:val="en-US" w:eastAsia="zh-CN"/>
                    </w:rPr>
                  </w:pPr>
                  <w:r>
                    <w:rPr>
                      <w:rFonts w:hint="eastAsia" w:ascii="Times New Roman" w:hAnsi="Times New Roman" w:cs="Times New Roman"/>
                      <w:b/>
                      <w:bCs/>
                      <w:color w:val="auto"/>
                      <w:u w:val="none"/>
                      <w:lang w:val="en-US" w:eastAsia="zh-CN"/>
                    </w:rPr>
                    <w:t>2026.7.3</w:t>
                  </w:r>
                </w:p>
              </w:tc>
            </w:tr>
            <w:tr w14:paraId="6039FE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940" w:type="dxa"/>
                  <w:vMerge w:val="continue"/>
                  <w:tcBorders>
                    <w:tl2br w:val="nil"/>
                    <w:tr2bl w:val="nil"/>
                  </w:tcBorders>
                  <w:noWrap w:val="0"/>
                  <w:vAlign w:val="center"/>
                </w:tcPr>
                <w:p w14:paraId="44C76265">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color w:val="auto"/>
                      <w:u w:val="none"/>
                    </w:rPr>
                  </w:pPr>
                </w:p>
              </w:tc>
              <w:tc>
                <w:tcPr>
                  <w:tcW w:w="1432" w:type="dxa"/>
                  <w:tcBorders>
                    <w:tl2br w:val="nil"/>
                    <w:tr2bl w:val="nil"/>
                  </w:tcBorders>
                  <w:noWrap w:val="0"/>
                  <w:vAlign w:val="center"/>
                </w:tcPr>
                <w:p w14:paraId="5400D197">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color w:val="auto"/>
                      <w:u w:val="none"/>
                    </w:rPr>
                  </w:pPr>
                  <w:r>
                    <w:rPr>
                      <w:rFonts w:hint="default" w:ascii="Times New Roman" w:hAnsi="Times New Roman" w:cs="Times New Roman"/>
                      <w:b/>
                      <w:bCs/>
                      <w:color w:val="auto"/>
                      <w:u w:val="none"/>
                    </w:rPr>
                    <w:t>昼间Leq</w:t>
                  </w:r>
                </w:p>
              </w:tc>
              <w:tc>
                <w:tcPr>
                  <w:tcW w:w="1433" w:type="dxa"/>
                  <w:tcBorders>
                    <w:tl2br w:val="nil"/>
                    <w:tr2bl w:val="nil"/>
                  </w:tcBorders>
                  <w:noWrap w:val="0"/>
                  <w:vAlign w:val="center"/>
                </w:tcPr>
                <w:p w14:paraId="26E8C623">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color w:val="auto"/>
                      <w:u w:val="none"/>
                    </w:rPr>
                  </w:pPr>
                  <w:r>
                    <w:rPr>
                      <w:rFonts w:hint="eastAsia" w:ascii="Times New Roman" w:hAnsi="Times New Roman" w:cs="Times New Roman"/>
                      <w:b/>
                      <w:bCs/>
                      <w:color w:val="auto"/>
                      <w:u w:val="none"/>
                      <w:lang w:val="en-US" w:eastAsia="zh-CN"/>
                    </w:rPr>
                    <w:t>夜</w:t>
                  </w:r>
                  <w:r>
                    <w:rPr>
                      <w:rFonts w:hint="default" w:ascii="Times New Roman" w:hAnsi="Times New Roman" w:cs="Times New Roman"/>
                      <w:b/>
                      <w:bCs/>
                      <w:color w:val="auto"/>
                      <w:u w:val="none"/>
                    </w:rPr>
                    <w:t>间Leq</w:t>
                  </w:r>
                </w:p>
              </w:tc>
              <w:tc>
                <w:tcPr>
                  <w:tcW w:w="1267" w:type="dxa"/>
                  <w:tcBorders>
                    <w:tl2br w:val="nil"/>
                    <w:tr2bl w:val="nil"/>
                  </w:tcBorders>
                  <w:shd w:val="clear" w:color="auto" w:fill="auto"/>
                  <w:noWrap w:val="0"/>
                  <w:vAlign w:val="center"/>
                </w:tcPr>
                <w:p w14:paraId="6C06FDFF">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2"/>
                      <w:sz w:val="21"/>
                      <w:szCs w:val="24"/>
                      <w:u w:val="none"/>
                      <w:lang w:val="en-US" w:eastAsia="zh-CN" w:bidi="ar-SA"/>
                    </w:rPr>
                  </w:pPr>
                  <w:r>
                    <w:rPr>
                      <w:rFonts w:hint="default" w:ascii="Times New Roman" w:hAnsi="Times New Roman" w:cs="Times New Roman"/>
                      <w:b/>
                      <w:bCs/>
                      <w:color w:val="auto"/>
                      <w:u w:val="none"/>
                    </w:rPr>
                    <w:t>昼间Leq</w:t>
                  </w:r>
                </w:p>
              </w:tc>
              <w:tc>
                <w:tcPr>
                  <w:tcW w:w="1268" w:type="dxa"/>
                  <w:tcBorders>
                    <w:tl2br w:val="nil"/>
                    <w:tr2bl w:val="nil"/>
                  </w:tcBorders>
                  <w:shd w:val="clear" w:color="auto" w:fill="auto"/>
                  <w:noWrap w:val="0"/>
                  <w:vAlign w:val="center"/>
                </w:tcPr>
                <w:p w14:paraId="6BC0B4FC">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color w:val="auto"/>
                      <w:u w:val="none"/>
                    </w:rPr>
                  </w:pPr>
                  <w:r>
                    <w:rPr>
                      <w:rFonts w:hint="eastAsia" w:ascii="Times New Roman" w:hAnsi="Times New Roman" w:cs="Times New Roman"/>
                      <w:b/>
                      <w:bCs/>
                      <w:color w:val="auto"/>
                      <w:u w:val="none"/>
                      <w:lang w:val="en-US" w:eastAsia="zh-CN"/>
                    </w:rPr>
                    <w:t>夜</w:t>
                  </w:r>
                  <w:r>
                    <w:rPr>
                      <w:rFonts w:hint="default" w:ascii="Times New Roman" w:hAnsi="Times New Roman" w:cs="Times New Roman"/>
                      <w:b/>
                      <w:bCs/>
                      <w:color w:val="auto"/>
                      <w:u w:val="none"/>
                    </w:rPr>
                    <w:t>间Leq</w:t>
                  </w:r>
                </w:p>
              </w:tc>
            </w:tr>
            <w:tr w14:paraId="079E52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940" w:type="dxa"/>
                  <w:tcBorders>
                    <w:tl2br w:val="nil"/>
                    <w:tr2bl w:val="nil"/>
                  </w:tcBorders>
                  <w:noWrap w:val="0"/>
                  <w:vAlign w:val="center"/>
                </w:tcPr>
                <w:p w14:paraId="2BD5B7AC">
                  <w:pPr>
                    <w:pStyle w:val="6"/>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N</w:t>
                  </w:r>
                  <w:r>
                    <w:rPr>
                      <w:rFonts w:hint="default" w:ascii="Times New Roman" w:hAnsi="Times New Roman" w:cs="Times New Roman"/>
                      <w:color w:val="auto"/>
                      <w:u w:val="none"/>
                    </w:rPr>
                    <w:t>1东侧厂界</w:t>
                  </w:r>
                </w:p>
              </w:tc>
              <w:tc>
                <w:tcPr>
                  <w:tcW w:w="1432" w:type="dxa"/>
                  <w:tcBorders>
                    <w:tl2br w:val="nil"/>
                    <w:tr2bl w:val="nil"/>
                  </w:tcBorders>
                  <w:shd w:val="clear" w:color="auto" w:fill="auto"/>
                  <w:noWrap w:val="0"/>
                  <w:vAlign w:val="center"/>
                </w:tcPr>
                <w:p w14:paraId="31E7682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56.1</w:t>
                  </w:r>
                </w:p>
              </w:tc>
              <w:tc>
                <w:tcPr>
                  <w:tcW w:w="1433" w:type="dxa"/>
                  <w:tcBorders>
                    <w:tl2br w:val="nil"/>
                    <w:tr2bl w:val="nil"/>
                  </w:tcBorders>
                  <w:shd w:val="clear" w:color="auto" w:fill="auto"/>
                  <w:noWrap w:val="0"/>
                  <w:vAlign w:val="center"/>
                </w:tcPr>
                <w:p w14:paraId="47155A8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42.2</w:t>
                  </w:r>
                </w:p>
              </w:tc>
              <w:tc>
                <w:tcPr>
                  <w:tcW w:w="1267" w:type="dxa"/>
                  <w:tcBorders>
                    <w:tl2br w:val="nil"/>
                    <w:tr2bl w:val="nil"/>
                  </w:tcBorders>
                  <w:shd w:val="clear" w:color="auto" w:fill="auto"/>
                  <w:noWrap w:val="0"/>
                  <w:vAlign w:val="center"/>
                </w:tcPr>
                <w:p w14:paraId="6068FAB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57.1</w:t>
                  </w:r>
                </w:p>
              </w:tc>
              <w:tc>
                <w:tcPr>
                  <w:tcW w:w="1268" w:type="dxa"/>
                  <w:tcBorders>
                    <w:tl2br w:val="nil"/>
                    <w:tr2bl w:val="nil"/>
                  </w:tcBorders>
                  <w:shd w:val="clear" w:color="auto" w:fill="auto"/>
                  <w:noWrap w:val="0"/>
                  <w:vAlign w:val="center"/>
                </w:tcPr>
                <w:p w14:paraId="1A6DB94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46.0</w:t>
                  </w:r>
                </w:p>
              </w:tc>
            </w:tr>
            <w:tr w14:paraId="6B3A93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940" w:type="dxa"/>
                  <w:tcBorders>
                    <w:tl2br w:val="nil"/>
                    <w:tr2bl w:val="nil"/>
                  </w:tcBorders>
                  <w:noWrap w:val="0"/>
                  <w:vAlign w:val="center"/>
                </w:tcPr>
                <w:p w14:paraId="43EFB24D">
                  <w:pPr>
                    <w:pStyle w:val="6"/>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N</w:t>
                  </w:r>
                  <w:r>
                    <w:rPr>
                      <w:rFonts w:hint="default" w:ascii="Times New Roman" w:hAnsi="Times New Roman" w:cs="Times New Roman"/>
                      <w:color w:val="auto"/>
                      <w:u w:val="none"/>
                    </w:rPr>
                    <w:t>2南侧厂界</w:t>
                  </w:r>
                </w:p>
              </w:tc>
              <w:tc>
                <w:tcPr>
                  <w:tcW w:w="1432" w:type="dxa"/>
                  <w:tcBorders>
                    <w:tl2br w:val="nil"/>
                    <w:tr2bl w:val="nil"/>
                  </w:tcBorders>
                  <w:shd w:val="clear" w:color="auto" w:fill="auto"/>
                  <w:noWrap w:val="0"/>
                  <w:vAlign w:val="center"/>
                </w:tcPr>
                <w:p w14:paraId="1BFD331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55.3</w:t>
                  </w:r>
                </w:p>
              </w:tc>
              <w:tc>
                <w:tcPr>
                  <w:tcW w:w="1433" w:type="dxa"/>
                  <w:tcBorders>
                    <w:tl2br w:val="nil"/>
                    <w:tr2bl w:val="nil"/>
                  </w:tcBorders>
                  <w:shd w:val="clear" w:color="auto" w:fill="auto"/>
                  <w:noWrap w:val="0"/>
                  <w:vAlign w:val="center"/>
                </w:tcPr>
                <w:p w14:paraId="1249EEC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45.6</w:t>
                  </w:r>
                </w:p>
              </w:tc>
              <w:tc>
                <w:tcPr>
                  <w:tcW w:w="1267" w:type="dxa"/>
                  <w:tcBorders>
                    <w:tl2br w:val="nil"/>
                    <w:tr2bl w:val="nil"/>
                  </w:tcBorders>
                  <w:shd w:val="clear" w:color="auto" w:fill="auto"/>
                  <w:noWrap w:val="0"/>
                  <w:vAlign w:val="center"/>
                </w:tcPr>
                <w:p w14:paraId="5097342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56.5</w:t>
                  </w:r>
                </w:p>
              </w:tc>
              <w:tc>
                <w:tcPr>
                  <w:tcW w:w="1268" w:type="dxa"/>
                  <w:tcBorders>
                    <w:tl2br w:val="nil"/>
                    <w:tr2bl w:val="nil"/>
                  </w:tcBorders>
                  <w:shd w:val="clear" w:color="auto" w:fill="auto"/>
                  <w:noWrap w:val="0"/>
                  <w:vAlign w:val="center"/>
                </w:tcPr>
                <w:p w14:paraId="0743F54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44.5</w:t>
                  </w:r>
                </w:p>
              </w:tc>
            </w:tr>
            <w:tr w14:paraId="13DF6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940" w:type="dxa"/>
                  <w:tcBorders>
                    <w:tl2br w:val="nil"/>
                    <w:tr2bl w:val="nil"/>
                  </w:tcBorders>
                  <w:noWrap w:val="0"/>
                  <w:vAlign w:val="center"/>
                </w:tcPr>
                <w:p w14:paraId="6669658B">
                  <w:pPr>
                    <w:pStyle w:val="6"/>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N</w:t>
                  </w:r>
                  <w:r>
                    <w:rPr>
                      <w:rFonts w:hint="default" w:ascii="Times New Roman" w:hAnsi="Times New Roman" w:cs="Times New Roman"/>
                      <w:color w:val="auto"/>
                      <w:u w:val="none"/>
                    </w:rPr>
                    <w:t>3西侧厂界</w:t>
                  </w:r>
                </w:p>
              </w:tc>
              <w:tc>
                <w:tcPr>
                  <w:tcW w:w="1432" w:type="dxa"/>
                  <w:tcBorders>
                    <w:tl2br w:val="nil"/>
                    <w:tr2bl w:val="nil"/>
                  </w:tcBorders>
                  <w:shd w:val="clear" w:color="auto" w:fill="auto"/>
                  <w:noWrap w:val="0"/>
                  <w:vAlign w:val="center"/>
                </w:tcPr>
                <w:p w14:paraId="3B305B4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51.8</w:t>
                  </w:r>
                </w:p>
              </w:tc>
              <w:tc>
                <w:tcPr>
                  <w:tcW w:w="1433" w:type="dxa"/>
                  <w:tcBorders>
                    <w:tl2br w:val="nil"/>
                    <w:tr2bl w:val="nil"/>
                  </w:tcBorders>
                  <w:shd w:val="clear" w:color="auto" w:fill="auto"/>
                  <w:noWrap w:val="0"/>
                  <w:vAlign w:val="center"/>
                </w:tcPr>
                <w:p w14:paraId="6D1D2AE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42.2</w:t>
                  </w:r>
                </w:p>
              </w:tc>
              <w:tc>
                <w:tcPr>
                  <w:tcW w:w="1267" w:type="dxa"/>
                  <w:tcBorders>
                    <w:tl2br w:val="nil"/>
                    <w:tr2bl w:val="nil"/>
                  </w:tcBorders>
                  <w:shd w:val="clear" w:color="auto" w:fill="auto"/>
                  <w:noWrap w:val="0"/>
                  <w:vAlign w:val="center"/>
                </w:tcPr>
                <w:p w14:paraId="00AD32B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51.3</w:t>
                  </w:r>
                </w:p>
              </w:tc>
              <w:tc>
                <w:tcPr>
                  <w:tcW w:w="1268" w:type="dxa"/>
                  <w:tcBorders>
                    <w:tl2br w:val="nil"/>
                    <w:tr2bl w:val="nil"/>
                  </w:tcBorders>
                  <w:shd w:val="clear" w:color="auto" w:fill="auto"/>
                  <w:noWrap w:val="0"/>
                  <w:vAlign w:val="center"/>
                </w:tcPr>
                <w:p w14:paraId="4A15B71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41.6</w:t>
                  </w:r>
                </w:p>
              </w:tc>
            </w:tr>
            <w:tr w14:paraId="05923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940" w:type="dxa"/>
                  <w:tcBorders>
                    <w:tl2br w:val="nil"/>
                    <w:tr2bl w:val="nil"/>
                  </w:tcBorders>
                  <w:noWrap w:val="0"/>
                  <w:vAlign w:val="center"/>
                </w:tcPr>
                <w:p w14:paraId="692C5024">
                  <w:pPr>
                    <w:pStyle w:val="6"/>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N</w:t>
                  </w:r>
                  <w:r>
                    <w:rPr>
                      <w:rFonts w:hint="default" w:ascii="Times New Roman" w:hAnsi="Times New Roman" w:cs="Times New Roman"/>
                      <w:color w:val="auto"/>
                      <w:u w:val="none"/>
                    </w:rPr>
                    <w:t>4北侧厂界</w:t>
                  </w:r>
                </w:p>
              </w:tc>
              <w:tc>
                <w:tcPr>
                  <w:tcW w:w="1432" w:type="dxa"/>
                  <w:tcBorders>
                    <w:tl2br w:val="nil"/>
                    <w:tr2bl w:val="nil"/>
                  </w:tcBorders>
                  <w:shd w:val="clear" w:color="auto" w:fill="auto"/>
                  <w:noWrap w:val="0"/>
                  <w:vAlign w:val="center"/>
                </w:tcPr>
                <w:p w14:paraId="44CF70B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56.7</w:t>
                  </w:r>
                </w:p>
              </w:tc>
              <w:tc>
                <w:tcPr>
                  <w:tcW w:w="1433" w:type="dxa"/>
                  <w:tcBorders>
                    <w:tl2br w:val="nil"/>
                    <w:tr2bl w:val="nil"/>
                  </w:tcBorders>
                  <w:shd w:val="clear" w:color="auto" w:fill="auto"/>
                  <w:noWrap w:val="0"/>
                  <w:vAlign w:val="center"/>
                </w:tcPr>
                <w:p w14:paraId="5153BEF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46.6</w:t>
                  </w:r>
                </w:p>
              </w:tc>
              <w:tc>
                <w:tcPr>
                  <w:tcW w:w="1267" w:type="dxa"/>
                  <w:tcBorders>
                    <w:tl2br w:val="nil"/>
                    <w:tr2bl w:val="nil"/>
                  </w:tcBorders>
                  <w:shd w:val="clear" w:color="auto" w:fill="auto"/>
                  <w:noWrap w:val="0"/>
                  <w:vAlign w:val="center"/>
                </w:tcPr>
                <w:p w14:paraId="5321334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55.7</w:t>
                  </w:r>
                </w:p>
              </w:tc>
              <w:tc>
                <w:tcPr>
                  <w:tcW w:w="1268" w:type="dxa"/>
                  <w:tcBorders>
                    <w:tl2br w:val="nil"/>
                    <w:tr2bl w:val="nil"/>
                  </w:tcBorders>
                  <w:shd w:val="clear" w:color="auto" w:fill="auto"/>
                  <w:noWrap w:val="0"/>
                  <w:vAlign w:val="center"/>
                </w:tcPr>
                <w:p w14:paraId="1903579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44.3</w:t>
                  </w:r>
                </w:p>
              </w:tc>
            </w:tr>
            <w:tr w14:paraId="18ACF8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940" w:type="dxa"/>
                  <w:tcBorders>
                    <w:tl2br w:val="nil"/>
                    <w:tr2bl w:val="nil"/>
                  </w:tcBorders>
                  <w:noWrap w:val="0"/>
                  <w:vAlign w:val="center"/>
                </w:tcPr>
                <w:p w14:paraId="411BC16A">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rPr>
                  </w:pPr>
                  <w:r>
                    <w:rPr>
                      <w:rFonts w:hint="eastAsia" w:ascii="Times New Roman" w:hAnsi="Times New Roman" w:cs="Times New Roman"/>
                      <w:color w:val="auto"/>
                      <w:u w:val="none"/>
                      <w:lang w:eastAsia="zh-CN"/>
                    </w:rPr>
                    <w:t>（</w:t>
                  </w:r>
                  <w:r>
                    <w:rPr>
                      <w:rFonts w:hint="default" w:ascii="Times New Roman" w:hAnsi="Times New Roman" w:cs="Times New Roman"/>
                      <w:color w:val="auto"/>
                      <w:u w:val="none"/>
                    </w:rPr>
                    <w:t>GB12348-2008</w:t>
                  </w:r>
                  <w:r>
                    <w:rPr>
                      <w:rFonts w:hint="eastAsia" w:ascii="Times New Roman" w:hAnsi="Times New Roman" w:cs="Times New Roman"/>
                      <w:color w:val="auto"/>
                      <w:u w:val="none"/>
                      <w:lang w:eastAsia="zh-CN"/>
                    </w:rPr>
                    <w:t>）</w:t>
                  </w:r>
                  <w:r>
                    <w:rPr>
                      <w:rFonts w:hint="eastAsia" w:ascii="Times New Roman" w:hAnsi="Times New Roman" w:cs="Times New Roman"/>
                      <w:color w:val="auto"/>
                      <w:u w:val="none"/>
                      <w:lang w:val="en-US" w:eastAsia="zh-CN"/>
                    </w:rPr>
                    <w:t>2</w:t>
                  </w:r>
                  <w:r>
                    <w:rPr>
                      <w:rFonts w:hint="default" w:ascii="Times New Roman" w:hAnsi="Times New Roman" w:cs="Times New Roman"/>
                      <w:color w:val="auto"/>
                      <w:u w:val="none"/>
                    </w:rPr>
                    <w:t>类标准值</w:t>
                  </w:r>
                </w:p>
              </w:tc>
              <w:tc>
                <w:tcPr>
                  <w:tcW w:w="1432" w:type="dxa"/>
                  <w:tcBorders>
                    <w:tl2br w:val="nil"/>
                    <w:tr2bl w:val="nil"/>
                  </w:tcBorders>
                  <w:noWrap w:val="0"/>
                  <w:vAlign w:val="center"/>
                </w:tcPr>
                <w:p w14:paraId="21E3C0D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eastAsia" w:ascii="Times New Roman" w:hAnsi="Times New Roman" w:cs="Times New Roman"/>
                      <w:color w:val="auto"/>
                      <w:u w:val="none"/>
                      <w:lang w:val="en-US" w:eastAsia="zh-CN"/>
                    </w:rPr>
                    <w:t>60</w:t>
                  </w:r>
                </w:p>
              </w:tc>
              <w:tc>
                <w:tcPr>
                  <w:tcW w:w="1433" w:type="dxa"/>
                  <w:tcBorders>
                    <w:tl2br w:val="nil"/>
                    <w:tr2bl w:val="nil"/>
                  </w:tcBorders>
                  <w:noWrap w:val="0"/>
                  <w:vAlign w:val="center"/>
                </w:tcPr>
                <w:p w14:paraId="0E65449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eastAsia" w:ascii="Times New Roman" w:hAnsi="Times New Roman" w:cs="Times New Roman"/>
                      <w:color w:val="auto"/>
                      <w:u w:val="none"/>
                      <w:lang w:val="en-US" w:eastAsia="zh-CN"/>
                    </w:rPr>
                    <w:t>50</w:t>
                  </w:r>
                </w:p>
              </w:tc>
              <w:tc>
                <w:tcPr>
                  <w:tcW w:w="1267" w:type="dxa"/>
                  <w:tcBorders>
                    <w:tl2br w:val="nil"/>
                    <w:tr2bl w:val="nil"/>
                  </w:tcBorders>
                  <w:noWrap w:val="0"/>
                  <w:vAlign w:val="center"/>
                </w:tcPr>
                <w:p w14:paraId="5E46DC8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r>
                    <w:rPr>
                      <w:rFonts w:hint="eastAsia" w:ascii="Times New Roman" w:hAnsi="Times New Roman" w:cs="Times New Roman"/>
                      <w:color w:val="auto"/>
                      <w:u w:val="none"/>
                      <w:lang w:val="en-US" w:eastAsia="zh-CN"/>
                    </w:rPr>
                    <w:t>0</w:t>
                  </w:r>
                </w:p>
              </w:tc>
              <w:tc>
                <w:tcPr>
                  <w:tcW w:w="1268" w:type="dxa"/>
                  <w:tcBorders>
                    <w:tl2br w:val="nil"/>
                    <w:tr2bl w:val="nil"/>
                  </w:tcBorders>
                  <w:noWrap w:val="0"/>
                  <w:vAlign w:val="center"/>
                </w:tcPr>
                <w:p w14:paraId="21B7DBF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eastAsia" w:ascii="Times New Roman" w:hAnsi="Times New Roman" w:cs="Times New Roman"/>
                      <w:color w:val="auto"/>
                      <w:u w:val="none"/>
                      <w:lang w:val="en-US" w:eastAsia="zh-CN"/>
                    </w:rPr>
                    <w:t>50</w:t>
                  </w:r>
                </w:p>
              </w:tc>
            </w:tr>
            <w:tr w14:paraId="4145C0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2940" w:type="dxa"/>
                  <w:tcBorders>
                    <w:tl2br w:val="nil"/>
                    <w:tr2bl w:val="nil"/>
                  </w:tcBorders>
                  <w:noWrap w:val="0"/>
                  <w:vAlign w:val="center"/>
                </w:tcPr>
                <w:p w14:paraId="16069030">
                  <w:pPr>
                    <w:pStyle w:val="6"/>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结论</w:t>
                  </w:r>
                </w:p>
              </w:tc>
              <w:tc>
                <w:tcPr>
                  <w:tcW w:w="1432" w:type="dxa"/>
                  <w:tcBorders>
                    <w:tl2br w:val="nil"/>
                    <w:tr2bl w:val="nil"/>
                  </w:tcBorders>
                  <w:noWrap w:val="0"/>
                  <w:vAlign w:val="center"/>
                </w:tcPr>
                <w:p w14:paraId="1156E2B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达标</w:t>
                  </w:r>
                </w:p>
              </w:tc>
              <w:tc>
                <w:tcPr>
                  <w:tcW w:w="1433" w:type="dxa"/>
                  <w:tcBorders>
                    <w:tl2br w:val="nil"/>
                    <w:tr2bl w:val="nil"/>
                  </w:tcBorders>
                  <w:noWrap w:val="0"/>
                  <w:vAlign w:val="center"/>
                </w:tcPr>
                <w:p w14:paraId="2D718D5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达标</w:t>
                  </w:r>
                </w:p>
              </w:tc>
              <w:tc>
                <w:tcPr>
                  <w:tcW w:w="1267" w:type="dxa"/>
                  <w:tcBorders>
                    <w:tl2br w:val="nil"/>
                    <w:tr2bl w:val="nil"/>
                  </w:tcBorders>
                  <w:noWrap w:val="0"/>
                  <w:vAlign w:val="center"/>
                </w:tcPr>
                <w:p w14:paraId="4217B07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达标</w:t>
                  </w:r>
                </w:p>
              </w:tc>
              <w:tc>
                <w:tcPr>
                  <w:tcW w:w="1268" w:type="dxa"/>
                  <w:tcBorders>
                    <w:tl2br w:val="nil"/>
                    <w:tr2bl w:val="nil"/>
                  </w:tcBorders>
                  <w:noWrap w:val="0"/>
                  <w:vAlign w:val="center"/>
                </w:tcPr>
                <w:p w14:paraId="7400361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达标</w:t>
                  </w:r>
                </w:p>
              </w:tc>
            </w:tr>
          </w:tbl>
          <w:p w14:paraId="1EB20FB1">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u w:val="none"/>
                <w:lang w:eastAsia="zh-CN"/>
              </w:rPr>
              <w:t>监测结果表明，项目厂界昼间最</w:t>
            </w:r>
            <w:r>
              <w:rPr>
                <w:rFonts w:hint="default" w:ascii="Times New Roman" w:hAnsi="Times New Roman" w:cs="Times New Roman"/>
                <w:color w:val="000000" w:themeColor="text1"/>
                <w:sz w:val="24"/>
                <w:szCs w:val="24"/>
                <w:u w:val="none"/>
                <w:lang w:eastAsia="zh-CN"/>
                <w14:textFill>
                  <w14:solidFill>
                    <w14:schemeClr w14:val="tx1"/>
                  </w14:solidFill>
                </w14:textFill>
              </w:rPr>
              <w:t>大噪声值</w:t>
            </w:r>
            <w:r>
              <w:rPr>
                <w:rFonts w:hint="default" w:ascii="Times New Roman" w:hAnsi="Times New Roman" w:cs="Times New Roman"/>
                <w:color w:val="000000" w:themeColor="text1"/>
                <w:sz w:val="24"/>
                <w:szCs w:val="24"/>
                <w:u w:val="none"/>
                <w:lang w:val="en-US" w:eastAsia="zh-CN"/>
                <w14:textFill>
                  <w14:solidFill>
                    <w14:schemeClr w14:val="tx1"/>
                  </w14:solidFill>
                </w14:textFill>
              </w:rPr>
              <w:t>5</w:t>
            </w:r>
            <w:r>
              <w:rPr>
                <w:rFonts w:hint="eastAsia" w:ascii="Times New Roman" w:hAnsi="Times New Roman" w:cs="Times New Roman"/>
                <w:color w:val="000000" w:themeColor="text1"/>
                <w:sz w:val="24"/>
                <w:szCs w:val="24"/>
                <w:u w:val="none"/>
                <w:lang w:val="en-US" w:eastAsia="zh-CN"/>
                <w14:textFill>
                  <w14:solidFill>
                    <w14:schemeClr w14:val="tx1"/>
                  </w14:solidFill>
                </w14:textFill>
              </w:rPr>
              <w:t>7.1</w:t>
            </w:r>
            <w:r>
              <w:rPr>
                <w:rFonts w:hint="default" w:ascii="Times New Roman" w:hAnsi="Times New Roman" w:cs="Times New Roman"/>
                <w:color w:val="000000" w:themeColor="text1"/>
                <w:sz w:val="24"/>
                <w:szCs w:val="24"/>
                <w:u w:val="none"/>
                <w:lang w:eastAsia="zh-CN"/>
                <w14:textFill>
                  <w14:solidFill>
                    <w14:schemeClr w14:val="tx1"/>
                  </w14:solidFill>
                </w14:textFill>
              </w:rPr>
              <w:t>dB</w:t>
            </w:r>
            <w:r>
              <w:rPr>
                <w:rFonts w:hint="eastAsia" w:ascii="Times New Roman" w:hAnsi="Times New Roman" w:cs="Times New Roman"/>
                <w:color w:val="000000" w:themeColor="text1"/>
                <w:sz w:val="24"/>
                <w:szCs w:val="24"/>
                <w:u w:val="none"/>
                <w:lang w:eastAsia="zh-CN"/>
                <w14:textFill>
                  <w14:solidFill>
                    <w14:schemeClr w14:val="tx1"/>
                  </w14:solidFill>
                </w14:textFill>
              </w:rPr>
              <w:t>（</w:t>
            </w:r>
            <w:r>
              <w:rPr>
                <w:rFonts w:hint="eastAsia" w:ascii="Times New Roman" w:hAnsi="Times New Roman" w:cs="Times New Roman"/>
                <w:color w:val="000000" w:themeColor="text1"/>
                <w:sz w:val="24"/>
                <w:szCs w:val="24"/>
                <w:u w:val="none"/>
                <w:lang w:val="en-US" w:eastAsia="zh-CN"/>
                <w14:textFill>
                  <w14:solidFill>
                    <w14:schemeClr w14:val="tx1"/>
                  </w14:solidFill>
                </w14:textFill>
              </w:rPr>
              <w:t>A</w:t>
            </w:r>
            <w:r>
              <w:rPr>
                <w:rFonts w:hint="eastAsia" w:ascii="Times New Roman" w:hAnsi="Times New Roman" w:cs="Times New Roman"/>
                <w:color w:val="000000" w:themeColor="text1"/>
                <w:sz w:val="24"/>
                <w:szCs w:val="24"/>
                <w:u w:val="none"/>
                <w:lang w:eastAsia="zh-CN"/>
                <w14:textFill>
                  <w14:solidFill>
                    <w14:schemeClr w14:val="tx1"/>
                  </w14:solidFill>
                </w14:textFill>
              </w:rPr>
              <w:t>）</w:t>
            </w:r>
            <w:r>
              <w:rPr>
                <w:rFonts w:hint="default" w:ascii="Times New Roman" w:hAnsi="Times New Roman" w:cs="Times New Roman"/>
                <w:color w:val="000000" w:themeColor="text1"/>
                <w:sz w:val="24"/>
                <w:szCs w:val="24"/>
                <w:u w:val="none"/>
                <w:lang w:eastAsia="zh-CN"/>
                <w14:textFill>
                  <w14:solidFill>
                    <w14:schemeClr w14:val="tx1"/>
                  </w14:solidFill>
                </w14:textFill>
              </w:rPr>
              <w:t>、夜间最大噪声值</w:t>
            </w:r>
            <w:r>
              <w:rPr>
                <w:rFonts w:hint="default" w:ascii="Times New Roman" w:hAnsi="Times New Roman" w:cs="Times New Roman"/>
                <w:color w:val="000000" w:themeColor="text1"/>
                <w:sz w:val="24"/>
                <w:szCs w:val="24"/>
                <w:u w:val="none"/>
                <w:lang w:val="en-US" w:eastAsia="zh-CN"/>
                <w14:textFill>
                  <w14:solidFill>
                    <w14:schemeClr w14:val="tx1"/>
                  </w14:solidFill>
                </w14:textFill>
              </w:rPr>
              <w:t>4</w:t>
            </w:r>
            <w:r>
              <w:rPr>
                <w:rFonts w:hint="eastAsia" w:ascii="Times New Roman" w:hAnsi="Times New Roman" w:cs="Times New Roman"/>
                <w:color w:val="000000" w:themeColor="text1"/>
                <w:sz w:val="24"/>
                <w:szCs w:val="24"/>
                <w:u w:val="none"/>
                <w:lang w:val="en-US" w:eastAsia="zh-CN"/>
                <w14:textFill>
                  <w14:solidFill>
                    <w14:schemeClr w14:val="tx1"/>
                  </w14:solidFill>
                </w14:textFill>
              </w:rPr>
              <w:t>6.6</w:t>
            </w:r>
            <w:r>
              <w:rPr>
                <w:rFonts w:hint="default" w:ascii="Times New Roman" w:hAnsi="Times New Roman" w:cs="Times New Roman"/>
                <w:color w:val="000000" w:themeColor="text1"/>
                <w:sz w:val="24"/>
                <w:szCs w:val="24"/>
                <w:u w:val="none"/>
                <w:lang w:eastAsia="zh-CN"/>
                <w14:textFill>
                  <w14:solidFill>
                    <w14:schemeClr w14:val="tx1"/>
                  </w14:solidFill>
                </w14:textFill>
              </w:rPr>
              <w:t>dB</w:t>
            </w:r>
            <w:r>
              <w:rPr>
                <w:rFonts w:hint="eastAsia" w:ascii="Times New Roman" w:hAnsi="Times New Roman" w:cs="Times New Roman"/>
                <w:color w:val="000000" w:themeColor="text1"/>
                <w:sz w:val="24"/>
                <w:szCs w:val="24"/>
                <w:u w:val="none"/>
                <w:lang w:eastAsia="zh-CN"/>
                <w14:textFill>
                  <w14:solidFill>
                    <w14:schemeClr w14:val="tx1"/>
                  </w14:solidFill>
                </w14:textFill>
              </w:rPr>
              <w:t>（</w:t>
            </w:r>
            <w:r>
              <w:rPr>
                <w:rFonts w:hint="eastAsia" w:ascii="Times New Roman" w:hAnsi="Times New Roman" w:cs="Times New Roman"/>
                <w:color w:val="000000" w:themeColor="text1"/>
                <w:sz w:val="24"/>
                <w:szCs w:val="24"/>
                <w:u w:val="none"/>
                <w:lang w:val="en-US" w:eastAsia="zh-CN"/>
                <w14:textFill>
                  <w14:solidFill>
                    <w14:schemeClr w14:val="tx1"/>
                  </w14:solidFill>
                </w14:textFill>
              </w:rPr>
              <w:t>A</w:t>
            </w:r>
            <w:r>
              <w:rPr>
                <w:rFonts w:hint="eastAsia" w:ascii="Times New Roman" w:hAnsi="Times New Roman" w:cs="Times New Roman"/>
                <w:color w:val="000000" w:themeColor="text1"/>
                <w:sz w:val="24"/>
                <w:szCs w:val="24"/>
                <w:u w:val="none"/>
                <w:lang w:eastAsia="zh-CN"/>
                <w14:textFill>
                  <w14:solidFill>
                    <w14:schemeClr w14:val="tx1"/>
                  </w14:solidFill>
                </w14:textFill>
              </w:rPr>
              <w:t>）</w:t>
            </w:r>
            <w:r>
              <w:rPr>
                <w:rFonts w:hint="default" w:ascii="Times New Roman" w:hAnsi="Times New Roman" w:cs="Times New Roman"/>
                <w:color w:val="000000" w:themeColor="text1"/>
                <w:sz w:val="24"/>
                <w:szCs w:val="24"/>
                <w:u w:val="none"/>
                <w:lang w:eastAsia="zh-CN"/>
                <w14:textFill>
                  <w14:solidFill>
                    <w14:schemeClr w14:val="tx1"/>
                  </w14:solidFill>
                </w14:textFill>
              </w:rPr>
              <w:t>，</w:t>
            </w:r>
            <w:r>
              <w:rPr>
                <w:rFonts w:hint="default" w:ascii="Times New Roman" w:hAnsi="Times New Roman" w:cs="Times New Roman"/>
                <w:color w:val="auto"/>
                <w:sz w:val="24"/>
                <w:szCs w:val="24"/>
                <w:u w:val="none"/>
                <w:lang w:val="en-US" w:eastAsia="zh-CN"/>
              </w:rPr>
              <w:t>满足</w:t>
            </w:r>
            <w:r>
              <w:rPr>
                <w:rFonts w:hint="default" w:ascii="Times New Roman" w:hAnsi="Times New Roman" w:cs="Times New Roman"/>
                <w:color w:val="auto"/>
                <w:sz w:val="24"/>
                <w:szCs w:val="24"/>
                <w:u w:val="none"/>
                <w:lang w:eastAsia="zh-CN"/>
              </w:rPr>
              <w:t>《工业企业厂界环境噪声排放标准》（GB12348-2008）中的</w:t>
            </w:r>
            <w:r>
              <w:rPr>
                <w:rFonts w:hint="eastAsia" w:ascii="Times New Roman" w:hAnsi="Times New Roman" w:cs="Times New Roman"/>
                <w:color w:val="auto"/>
                <w:sz w:val="24"/>
                <w:szCs w:val="24"/>
                <w:u w:val="none"/>
                <w:lang w:val="en-US" w:eastAsia="zh-CN"/>
              </w:rPr>
              <w:t>2</w:t>
            </w:r>
            <w:r>
              <w:rPr>
                <w:rFonts w:hint="default" w:ascii="Times New Roman" w:hAnsi="Times New Roman" w:cs="Times New Roman"/>
                <w:color w:val="auto"/>
                <w:sz w:val="24"/>
                <w:szCs w:val="24"/>
                <w:u w:val="none"/>
                <w:lang w:eastAsia="zh-CN"/>
              </w:rPr>
              <w:t>类标准</w:t>
            </w:r>
            <w:r>
              <w:rPr>
                <w:rFonts w:hint="default" w:ascii="Times New Roman" w:hAnsi="Times New Roman" w:cs="Times New Roman"/>
                <w:color w:val="auto"/>
                <w:sz w:val="24"/>
                <w:szCs w:val="24"/>
                <w:u w:val="none"/>
                <w:lang w:val="en-US" w:eastAsia="zh-CN"/>
              </w:rPr>
              <w:t>要求</w:t>
            </w:r>
            <w:r>
              <w:rPr>
                <w:rFonts w:hint="default" w:ascii="Times New Roman" w:hAnsi="Times New Roman" w:cs="Times New Roman"/>
                <w:color w:val="auto"/>
                <w:sz w:val="24"/>
                <w:szCs w:val="24"/>
                <w:u w:val="none"/>
                <w:lang w:eastAsia="zh-CN"/>
              </w:rPr>
              <w:t>。</w:t>
            </w:r>
          </w:p>
          <w:p w14:paraId="646C4B03">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lang w:eastAsia="zh-CN"/>
              </w:rPr>
            </w:pPr>
          </w:p>
          <w:p w14:paraId="798CD381">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lang w:eastAsia="zh-CN"/>
              </w:rPr>
            </w:pPr>
          </w:p>
          <w:p w14:paraId="2F0BC96C">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lang w:val="en-US" w:eastAsia="zh-CN"/>
              </w:rPr>
            </w:pPr>
          </w:p>
          <w:p w14:paraId="32313A07">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0EA03517">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59AD2568">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30966105">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28F9DD1B">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7156CC08">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1761E7E4">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0AADA833">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299608D7">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62A47C40">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23FF3487">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6A63D799">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6233BE6B">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12C2FD2F">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24628D8C">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50FB7CBD">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7BE7A893">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4"/>
                <w:szCs w:val="24"/>
                <w:u w:val="single"/>
                <w:lang w:val="en-US" w:eastAsia="zh-CN"/>
              </w:rPr>
            </w:pPr>
          </w:p>
          <w:p w14:paraId="5D842AFF">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color w:val="auto"/>
                <w:sz w:val="24"/>
                <w:szCs w:val="24"/>
                <w:u w:val="single"/>
                <w:lang w:val="en-US" w:eastAsia="zh-CN"/>
              </w:rPr>
            </w:pPr>
          </w:p>
        </w:tc>
      </w:tr>
    </w:tbl>
    <w:p w14:paraId="685B217C">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color w:val="000000" w:themeColor="text1"/>
          <w:sz w:val="28"/>
          <w:szCs w:val="28"/>
          <w:lang w:val="en-US" w:eastAsia="zh-CN"/>
          <w14:textFill>
            <w14:solidFill>
              <w14:schemeClr w14:val="tx1"/>
            </w14:solidFill>
          </w14:textFill>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3C65A220">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rFonts w:hint="eastAsia"/>
          <w:color w:val="000000" w:themeColor="text1"/>
          <w:sz w:val="28"/>
          <w:szCs w:val="28"/>
          <w:lang w:val="en-US" w:eastAsia="zh-CN"/>
          <w14:textFill>
            <w14:solidFill>
              <w14:schemeClr w14:val="tx1"/>
            </w14:solidFill>
          </w14:textFill>
        </w:rPr>
      </w:pPr>
      <w:bookmarkStart w:id="37" w:name="_Toc20047"/>
      <w:bookmarkStart w:id="38" w:name="_Toc1703"/>
      <w:bookmarkStart w:id="39" w:name="_Toc2858"/>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 xml:space="preserve">八 </w:t>
      </w:r>
      <w:bookmarkEnd w:id="22"/>
      <w:r>
        <w:rPr>
          <w:rFonts w:hint="eastAsia"/>
          <w:color w:val="000000" w:themeColor="text1"/>
          <w:sz w:val="28"/>
          <w:szCs w:val="28"/>
          <w:lang w:val="en-US" w:eastAsia="zh-CN"/>
          <w14:textFill>
            <w14:solidFill>
              <w14:schemeClr w14:val="tx1"/>
            </w14:solidFill>
          </w14:textFill>
        </w:rPr>
        <w:t>卫生防护距离</w:t>
      </w:r>
      <w:bookmarkEnd w:id="37"/>
      <w:bookmarkEnd w:id="38"/>
      <w:bookmarkEnd w:id="39"/>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596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14:paraId="27205B99">
            <w:pPr>
              <w:keepNext w:val="0"/>
              <w:keepLines w:val="0"/>
              <w:pageBreakBefore w:val="0"/>
              <w:widowControl w:val="0"/>
              <w:tabs>
                <w:tab w:val="left" w:pos="1511"/>
              </w:tabs>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项目环评报告及批复要求卫生防护距离为生产车间外延200m</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color w:val="auto"/>
                <w:sz w:val="24"/>
                <w:szCs w:val="24"/>
                <w:lang w:val="en-US" w:eastAsia="zh-CN"/>
              </w:rPr>
              <w:t>经现场</w:t>
            </w:r>
            <w:r>
              <w:rPr>
                <w:rFonts w:hint="eastAsia" w:ascii="Times New Roman" w:hAnsi="Times New Roman" w:cs="Times New Roman"/>
                <w:color w:val="auto"/>
                <w:sz w:val="24"/>
                <w:szCs w:val="24"/>
                <w:lang w:val="en-US" w:eastAsia="zh-CN"/>
              </w:rPr>
              <w:t>调查</w:t>
            </w:r>
            <w:r>
              <w:rPr>
                <w:rFonts w:hint="default" w:ascii="Times New Roman" w:hAnsi="Times New Roman" w:eastAsia="宋体" w:cs="Times New Roman"/>
                <w:color w:val="auto"/>
                <w:sz w:val="24"/>
                <w:szCs w:val="24"/>
                <w:lang w:val="en-US" w:eastAsia="zh-CN"/>
              </w:rPr>
              <w:t>，项目</w:t>
            </w:r>
            <w:r>
              <w:rPr>
                <w:rFonts w:hint="eastAsia" w:ascii="Times New Roman" w:hAnsi="Times New Roman" w:cs="Times New Roman"/>
                <w:sz w:val="24"/>
                <w:szCs w:val="24"/>
                <w:lang w:val="en-US" w:eastAsia="zh-CN"/>
              </w:rPr>
              <w:t>卫生防护距离内无居民住宅、学校、医院等环境</w:t>
            </w:r>
            <w:r>
              <w:rPr>
                <w:rFonts w:hint="default" w:ascii="Times New Roman" w:hAnsi="Times New Roman" w:eastAsia="宋体" w:cs="Times New Roman"/>
                <w:color w:val="auto"/>
                <w:sz w:val="24"/>
                <w:szCs w:val="24"/>
                <w:lang w:val="en-US" w:eastAsia="zh-CN"/>
              </w:rPr>
              <w:t>敏感</w:t>
            </w:r>
            <w:r>
              <w:rPr>
                <w:rFonts w:hint="eastAsia" w:ascii="Times New Roman" w:hAnsi="Times New Roman" w:cs="Times New Roman"/>
                <w:color w:val="auto"/>
                <w:sz w:val="24"/>
                <w:szCs w:val="24"/>
                <w:lang w:val="en-US" w:eastAsia="zh-CN"/>
              </w:rPr>
              <w:t>建筑</w:t>
            </w:r>
            <w:r>
              <w:rPr>
                <w:rFonts w:hint="default" w:ascii="Times New Roman" w:hAnsi="Times New Roman" w:eastAsia="宋体" w:cs="Times New Roman"/>
                <w:color w:val="auto"/>
                <w:sz w:val="24"/>
                <w:szCs w:val="24"/>
                <w:lang w:val="en-US" w:eastAsia="zh-CN"/>
              </w:rPr>
              <w:t>，满足卫生防护距离要求。</w:t>
            </w:r>
            <w:r>
              <w:rPr>
                <w:rFonts w:hint="default" w:ascii="Times New Roman" w:hAnsi="Times New Roman" w:eastAsia="宋体" w:cs="Times New Roman"/>
                <w:sz w:val="24"/>
                <w:szCs w:val="24"/>
                <w:lang w:eastAsia="zh-CN"/>
              </w:rPr>
              <w:t>项目主要环境保护目标见表</w:t>
            </w: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lang w:val="en-US" w:eastAsia="zh-CN"/>
              </w:rPr>
              <w:t>-1。</w:t>
            </w:r>
          </w:p>
          <w:p w14:paraId="7699A9CF">
            <w:pPr>
              <w:keepNext w:val="0"/>
              <w:keepLines w:val="0"/>
              <w:pageBreakBefore w:val="0"/>
              <w:widowControl w:val="0"/>
              <w:kinsoku/>
              <w:wordWrap/>
              <w:overflowPunct/>
              <w:topLinePunct w:val="0"/>
              <w:bidi w:val="0"/>
              <w:adjustRightInd w:val="0"/>
              <w:snapToGrid w:val="0"/>
              <w:spacing w:line="240" w:lineRule="auto"/>
              <w:ind w:firstLine="422" w:firstLineChars="200"/>
              <w:jc w:val="center"/>
              <w:textAlignment w:val="auto"/>
              <w:rPr>
                <w:rFonts w:hint="eastAsia" w:ascii="Times New Roman" w:hAnsi="Times New Roman" w:eastAsia="宋体" w:cs="Times New Roman"/>
                <w:b/>
                <w:bCs/>
                <w:color w:val="auto"/>
                <w:sz w:val="21"/>
                <w:szCs w:val="21"/>
                <w:lang w:eastAsia="zh-CN"/>
              </w:rPr>
            </w:pPr>
            <w:r>
              <w:rPr>
                <w:rFonts w:hint="default" w:ascii="Times New Roman" w:hAnsi="Times New Roman" w:cs="Times New Roman"/>
                <w:b/>
                <w:bCs/>
                <w:color w:val="auto"/>
                <w:sz w:val="21"/>
                <w:szCs w:val="21"/>
              </w:rPr>
              <w:t>表</w:t>
            </w:r>
            <w:r>
              <w:rPr>
                <w:rFonts w:hint="eastAsia" w:ascii="Times New Roman" w:hAnsi="Times New Roman" w:cs="Times New Roman"/>
                <w:b/>
                <w:bCs/>
                <w:color w:val="auto"/>
                <w:sz w:val="21"/>
                <w:szCs w:val="21"/>
                <w:lang w:val="en-US" w:eastAsia="zh-CN"/>
              </w:rPr>
              <w:t>8</w:t>
            </w:r>
            <w:r>
              <w:rPr>
                <w:rFonts w:hint="default" w:ascii="Times New Roman" w:hAnsi="Times New Roman" w:cs="Times New Roman"/>
                <w:b/>
                <w:bCs/>
                <w:color w:val="auto"/>
                <w:sz w:val="21"/>
                <w:szCs w:val="21"/>
                <w:lang w:val="en-US" w:eastAsia="zh-CN"/>
              </w:rPr>
              <w:t>-1</w:t>
            </w:r>
            <w:r>
              <w:rPr>
                <w:rFonts w:hint="default" w:ascii="Times New Roman" w:hAnsi="Times New Roman" w:cs="Times New Roman"/>
                <w:b/>
                <w:bCs/>
                <w:color w:val="auto"/>
                <w:sz w:val="21"/>
                <w:szCs w:val="21"/>
              </w:rPr>
              <w:t xml:space="preserve"> </w:t>
            </w:r>
            <w:r>
              <w:rPr>
                <w:rFonts w:hint="eastAsia" w:ascii="Times New Roman" w:hAnsi="Times New Roman" w:cs="Times New Roman"/>
                <w:b/>
                <w:bCs/>
                <w:color w:val="auto"/>
                <w:sz w:val="21"/>
                <w:szCs w:val="21"/>
                <w:lang w:eastAsia="zh-CN"/>
              </w:rPr>
              <w:t>主要环境保护目标</w:t>
            </w:r>
          </w:p>
          <w:tbl>
            <w:tblPr>
              <w:tblStyle w:val="24"/>
              <w:tblW w:w="82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4"/>
              <w:gridCol w:w="2060"/>
              <w:gridCol w:w="1215"/>
              <w:gridCol w:w="1770"/>
              <w:gridCol w:w="2319"/>
            </w:tblGrid>
            <w:tr w14:paraId="2E5D95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34" w:type="dxa"/>
                  <w:tcBorders>
                    <w:tl2br w:val="nil"/>
                    <w:tr2bl w:val="nil"/>
                  </w:tcBorders>
                  <w:noWrap w:val="0"/>
                  <w:vAlign w:val="center"/>
                </w:tcPr>
                <w:p w14:paraId="25B02332">
                  <w:pPr>
                    <w:keepNext w:val="0"/>
                    <w:keepLines w:val="0"/>
                    <w:pageBreakBefore w:val="0"/>
                    <w:kinsoku/>
                    <w:wordWrap/>
                    <w:overflowPunct/>
                    <w:topLinePunct w:val="0"/>
                    <w:autoSpaceDE/>
                    <w:autoSpaceDN/>
                    <w:bidi w:val="0"/>
                    <w:adjustRightInd w:val="0"/>
                    <w:snapToGrid w:val="0"/>
                    <w:jc w:val="center"/>
                    <w:textAlignment w:val="auto"/>
                    <w:rPr>
                      <w:rFonts w:hint="eastAsia" w:eastAsia="宋体"/>
                      <w:b/>
                      <w:bCs/>
                      <w:lang w:val="en-US" w:eastAsia="zh-CN"/>
                    </w:rPr>
                  </w:pPr>
                  <w:r>
                    <w:rPr>
                      <w:rFonts w:hint="eastAsia"/>
                      <w:b/>
                      <w:bCs/>
                      <w:lang w:val="en-US" w:eastAsia="zh-CN"/>
                    </w:rPr>
                    <w:t>序号</w:t>
                  </w:r>
                </w:p>
              </w:tc>
              <w:tc>
                <w:tcPr>
                  <w:tcW w:w="2060" w:type="dxa"/>
                  <w:tcBorders>
                    <w:tl2br w:val="nil"/>
                    <w:tr2bl w:val="nil"/>
                  </w:tcBorders>
                  <w:noWrap w:val="0"/>
                  <w:vAlign w:val="center"/>
                </w:tcPr>
                <w:p w14:paraId="5131F094">
                  <w:pPr>
                    <w:keepNext w:val="0"/>
                    <w:keepLines w:val="0"/>
                    <w:pageBreakBefore w:val="0"/>
                    <w:kinsoku/>
                    <w:wordWrap/>
                    <w:overflowPunct/>
                    <w:topLinePunct w:val="0"/>
                    <w:autoSpaceDE/>
                    <w:autoSpaceDN/>
                    <w:bidi w:val="0"/>
                    <w:adjustRightInd w:val="0"/>
                    <w:snapToGrid w:val="0"/>
                    <w:jc w:val="center"/>
                    <w:textAlignment w:val="auto"/>
                    <w:rPr>
                      <w:b/>
                      <w:bCs/>
                    </w:rPr>
                  </w:pPr>
                  <w:r>
                    <w:rPr>
                      <w:b/>
                      <w:bCs/>
                    </w:rPr>
                    <w:t>环境保护对象名称</w:t>
                  </w:r>
                </w:p>
              </w:tc>
              <w:tc>
                <w:tcPr>
                  <w:tcW w:w="1215" w:type="dxa"/>
                  <w:tcBorders>
                    <w:tl2br w:val="nil"/>
                    <w:tr2bl w:val="nil"/>
                  </w:tcBorders>
                  <w:noWrap w:val="0"/>
                  <w:vAlign w:val="center"/>
                </w:tcPr>
                <w:p w14:paraId="157C4A2D">
                  <w:pPr>
                    <w:keepNext w:val="0"/>
                    <w:keepLines w:val="0"/>
                    <w:pageBreakBefore w:val="0"/>
                    <w:kinsoku/>
                    <w:wordWrap/>
                    <w:overflowPunct/>
                    <w:topLinePunct w:val="0"/>
                    <w:autoSpaceDE/>
                    <w:autoSpaceDN/>
                    <w:bidi w:val="0"/>
                    <w:adjustRightInd w:val="0"/>
                    <w:snapToGrid w:val="0"/>
                    <w:jc w:val="center"/>
                    <w:textAlignment w:val="auto"/>
                    <w:rPr>
                      <w:b/>
                      <w:bCs/>
                    </w:rPr>
                  </w:pPr>
                  <w:r>
                    <w:rPr>
                      <w:b/>
                      <w:bCs/>
                    </w:rPr>
                    <w:t>方位</w:t>
                  </w:r>
                </w:p>
              </w:tc>
              <w:tc>
                <w:tcPr>
                  <w:tcW w:w="1770" w:type="dxa"/>
                  <w:tcBorders>
                    <w:tl2br w:val="nil"/>
                    <w:tr2bl w:val="nil"/>
                  </w:tcBorders>
                  <w:noWrap w:val="0"/>
                  <w:vAlign w:val="center"/>
                </w:tcPr>
                <w:p w14:paraId="56A5F9FD">
                  <w:pPr>
                    <w:keepNext w:val="0"/>
                    <w:keepLines w:val="0"/>
                    <w:pageBreakBefore w:val="0"/>
                    <w:kinsoku/>
                    <w:wordWrap/>
                    <w:overflowPunct/>
                    <w:topLinePunct w:val="0"/>
                    <w:autoSpaceDE/>
                    <w:autoSpaceDN/>
                    <w:bidi w:val="0"/>
                    <w:adjustRightInd w:val="0"/>
                    <w:snapToGrid w:val="0"/>
                    <w:jc w:val="center"/>
                    <w:textAlignment w:val="auto"/>
                    <w:rPr>
                      <w:rFonts w:hint="eastAsia" w:ascii="Calibri" w:hAnsi="Calibri" w:eastAsia="宋体" w:cs="Times New Roman"/>
                      <w:b/>
                      <w:bCs/>
                      <w:kern w:val="2"/>
                      <w:sz w:val="21"/>
                      <w:szCs w:val="24"/>
                      <w:lang w:val="en-US" w:eastAsia="zh-CN" w:bidi="ar-SA"/>
                    </w:rPr>
                  </w:pPr>
                  <w:r>
                    <w:rPr>
                      <w:rFonts w:hint="eastAsia"/>
                      <w:b/>
                      <w:bCs/>
                      <w:lang w:eastAsia="zh-CN"/>
                    </w:rPr>
                    <w:t>保护对象</w:t>
                  </w:r>
                </w:p>
              </w:tc>
              <w:tc>
                <w:tcPr>
                  <w:tcW w:w="2319" w:type="dxa"/>
                  <w:tcBorders>
                    <w:tl2br w:val="nil"/>
                    <w:tr2bl w:val="nil"/>
                  </w:tcBorders>
                  <w:noWrap w:val="0"/>
                  <w:vAlign w:val="center"/>
                </w:tcPr>
                <w:p w14:paraId="514FCD4B">
                  <w:pPr>
                    <w:keepNext w:val="0"/>
                    <w:keepLines w:val="0"/>
                    <w:pageBreakBefore w:val="0"/>
                    <w:kinsoku/>
                    <w:wordWrap/>
                    <w:overflowPunct/>
                    <w:topLinePunct w:val="0"/>
                    <w:autoSpaceDE/>
                    <w:autoSpaceDN/>
                    <w:bidi w:val="0"/>
                    <w:adjustRightInd w:val="0"/>
                    <w:snapToGrid w:val="0"/>
                    <w:jc w:val="center"/>
                    <w:textAlignment w:val="auto"/>
                    <w:rPr>
                      <w:rFonts w:hint="eastAsia" w:eastAsia="宋体"/>
                      <w:b/>
                      <w:bCs/>
                      <w:lang w:eastAsia="zh-CN"/>
                    </w:rPr>
                  </w:pPr>
                  <w:r>
                    <w:rPr>
                      <w:rFonts w:hint="eastAsia"/>
                      <w:b/>
                      <w:bCs/>
                      <w:lang w:val="en-US" w:eastAsia="zh-CN"/>
                    </w:rPr>
                    <w:t>距厂界最近</w:t>
                  </w:r>
                  <w:r>
                    <w:rPr>
                      <w:b/>
                      <w:bCs/>
                    </w:rPr>
                    <w:t>距离（m）</w:t>
                  </w:r>
                </w:p>
              </w:tc>
            </w:tr>
            <w:tr w14:paraId="1AB08B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34" w:type="dxa"/>
                  <w:tcBorders>
                    <w:tl2br w:val="nil"/>
                    <w:tr2bl w:val="nil"/>
                  </w:tcBorders>
                  <w:noWrap w:val="0"/>
                  <w:vAlign w:val="center"/>
                </w:tcPr>
                <w:p w14:paraId="32FB3627">
                  <w:pPr>
                    <w:keepNext w:val="0"/>
                    <w:keepLines w:val="0"/>
                    <w:pageBreakBefore w:val="0"/>
                    <w:widowControl w:val="0"/>
                    <w:kinsoku/>
                    <w:wordWrap/>
                    <w:overflowPunct/>
                    <w:topLinePunct w:val="0"/>
                    <w:autoSpaceDE/>
                    <w:autoSpaceDN/>
                    <w:bidi w:val="0"/>
                    <w:spacing w:line="360" w:lineRule="exact"/>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kern w:val="2"/>
                      <w:sz w:val="21"/>
                      <w:szCs w:val="21"/>
                      <w:highlight w:val="none"/>
                      <w:lang w:val="en-US" w:eastAsia="zh-CN" w:bidi="ar-SA"/>
                    </w:rPr>
                    <w:t>1</w:t>
                  </w:r>
                </w:p>
              </w:tc>
              <w:tc>
                <w:tcPr>
                  <w:tcW w:w="2060" w:type="dxa"/>
                  <w:tcBorders>
                    <w:tl2br w:val="nil"/>
                    <w:tr2bl w:val="nil"/>
                  </w:tcBorders>
                  <w:noWrap w:val="0"/>
                  <w:vAlign w:val="center"/>
                </w:tcPr>
                <w:p w14:paraId="7A2FC157">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独城镇</w:t>
                  </w:r>
                </w:p>
              </w:tc>
              <w:tc>
                <w:tcPr>
                  <w:tcW w:w="1215" w:type="dxa"/>
                  <w:tcBorders>
                    <w:tl2br w:val="nil"/>
                    <w:tr2bl w:val="nil"/>
                  </w:tcBorders>
                  <w:noWrap w:val="0"/>
                  <w:vAlign w:val="center"/>
                </w:tcPr>
                <w:p w14:paraId="4680C059">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auto"/>
                      <w:sz w:val="21"/>
                      <w:szCs w:val="21"/>
                      <w:lang w:val="en-US" w:eastAsia="zh-CN"/>
                    </w:rPr>
                    <w:t>东北</w:t>
                  </w:r>
                </w:p>
              </w:tc>
              <w:tc>
                <w:tcPr>
                  <w:tcW w:w="1770" w:type="dxa"/>
                  <w:tcBorders>
                    <w:tl2br w:val="nil"/>
                    <w:tr2bl w:val="nil"/>
                  </w:tcBorders>
                  <w:noWrap w:val="0"/>
                  <w:vAlign w:val="center"/>
                </w:tcPr>
                <w:p w14:paraId="66882E77">
                  <w:pPr>
                    <w:keepNext w:val="0"/>
                    <w:keepLines w:val="0"/>
                    <w:pageBreakBefore w:val="0"/>
                    <w:widowControl w:val="0"/>
                    <w:kinsoku/>
                    <w:wordWrap/>
                    <w:overflowPunct/>
                    <w:topLinePunct w:val="0"/>
                    <w:autoSpaceDE/>
                    <w:autoSpaceDN/>
                    <w:bidi w:val="0"/>
                    <w:spacing w:line="360" w:lineRule="exact"/>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居民区</w:t>
                  </w:r>
                </w:p>
              </w:tc>
              <w:tc>
                <w:tcPr>
                  <w:tcW w:w="2319" w:type="dxa"/>
                  <w:tcBorders>
                    <w:tl2br w:val="nil"/>
                    <w:tr2bl w:val="nil"/>
                  </w:tcBorders>
                  <w:noWrap w:val="0"/>
                  <w:vAlign w:val="center"/>
                </w:tcPr>
                <w:p w14:paraId="247BAE8A">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auto"/>
                      <w:sz w:val="21"/>
                      <w:szCs w:val="21"/>
                      <w:lang w:val="en-US" w:eastAsia="zh-CN"/>
                    </w:rPr>
                    <w:t>560</w:t>
                  </w:r>
                </w:p>
              </w:tc>
            </w:tr>
            <w:tr w14:paraId="43A62E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34" w:type="dxa"/>
                  <w:tcBorders>
                    <w:tl2br w:val="nil"/>
                    <w:tr2bl w:val="nil"/>
                  </w:tcBorders>
                  <w:noWrap w:val="0"/>
                  <w:vAlign w:val="center"/>
                </w:tcPr>
                <w:p w14:paraId="38D9E1CF">
                  <w:pPr>
                    <w:keepNext w:val="0"/>
                    <w:keepLines w:val="0"/>
                    <w:pageBreakBefore w:val="0"/>
                    <w:widowControl w:val="0"/>
                    <w:kinsoku/>
                    <w:wordWrap/>
                    <w:overflowPunct/>
                    <w:topLinePunct w:val="0"/>
                    <w:autoSpaceDE/>
                    <w:autoSpaceDN/>
                    <w:bidi w:val="0"/>
                    <w:spacing w:line="360" w:lineRule="exact"/>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kern w:val="2"/>
                      <w:sz w:val="21"/>
                      <w:szCs w:val="21"/>
                      <w:highlight w:val="none"/>
                      <w:lang w:val="en-US" w:eastAsia="zh-CN" w:bidi="ar-SA"/>
                    </w:rPr>
                    <w:t>2</w:t>
                  </w:r>
                </w:p>
              </w:tc>
              <w:tc>
                <w:tcPr>
                  <w:tcW w:w="2060" w:type="dxa"/>
                  <w:tcBorders>
                    <w:tl2br w:val="nil"/>
                    <w:tr2bl w:val="nil"/>
                  </w:tcBorders>
                  <w:noWrap w:val="0"/>
                  <w:vAlign w:val="center"/>
                </w:tcPr>
                <w:p w14:paraId="1FF12228">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龚家</w:t>
                  </w:r>
                </w:p>
              </w:tc>
              <w:tc>
                <w:tcPr>
                  <w:tcW w:w="1215" w:type="dxa"/>
                  <w:tcBorders>
                    <w:tl2br w:val="nil"/>
                    <w:tr2bl w:val="nil"/>
                  </w:tcBorders>
                  <w:noWrap w:val="0"/>
                  <w:vAlign w:val="center"/>
                </w:tcPr>
                <w:p w14:paraId="20284857">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auto"/>
                      <w:sz w:val="21"/>
                      <w:szCs w:val="21"/>
                      <w:lang w:val="en-US" w:eastAsia="zh-CN"/>
                    </w:rPr>
                    <w:t>东南</w:t>
                  </w:r>
                </w:p>
              </w:tc>
              <w:tc>
                <w:tcPr>
                  <w:tcW w:w="1770" w:type="dxa"/>
                  <w:tcBorders>
                    <w:tl2br w:val="nil"/>
                    <w:tr2bl w:val="nil"/>
                  </w:tcBorders>
                  <w:noWrap w:val="0"/>
                  <w:vAlign w:val="center"/>
                </w:tcPr>
                <w:p w14:paraId="56863ABB">
                  <w:pPr>
                    <w:keepNext w:val="0"/>
                    <w:keepLines w:val="0"/>
                    <w:pageBreakBefore w:val="0"/>
                    <w:widowControl w:val="0"/>
                    <w:kinsoku/>
                    <w:wordWrap/>
                    <w:overflowPunct/>
                    <w:topLinePunct w:val="0"/>
                    <w:autoSpaceDE/>
                    <w:autoSpaceDN/>
                    <w:bidi w:val="0"/>
                    <w:spacing w:line="360" w:lineRule="exact"/>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居民区</w:t>
                  </w:r>
                </w:p>
              </w:tc>
              <w:tc>
                <w:tcPr>
                  <w:tcW w:w="2319" w:type="dxa"/>
                  <w:tcBorders>
                    <w:tl2br w:val="nil"/>
                    <w:tr2bl w:val="nil"/>
                  </w:tcBorders>
                  <w:noWrap w:val="0"/>
                  <w:vAlign w:val="center"/>
                </w:tcPr>
                <w:p w14:paraId="69951484">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auto"/>
                      <w:sz w:val="21"/>
                      <w:szCs w:val="21"/>
                      <w:lang w:val="en-US" w:eastAsia="zh-CN"/>
                    </w:rPr>
                    <w:t>540</w:t>
                  </w:r>
                </w:p>
              </w:tc>
            </w:tr>
            <w:tr w14:paraId="5A87E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34" w:type="dxa"/>
                  <w:tcBorders>
                    <w:tl2br w:val="nil"/>
                    <w:tr2bl w:val="nil"/>
                  </w:tcBorders>
                  <w:noWrap w:val="0"/>
                  <w:vAlign w:val="center"/>
                </w:tcPr>
                <w:p w14:paraId="4700824B">
                  <w:pPr>
                    <w:keepNext w:val="0"/>
                    <w:keepLines w:val="0"/>
                    <w:pageBreakBefore w:val="0"/>
                    <w:widowControl w:val="0"/>
                    <w:kinsoku/>
                    <w:wordWrap/>
                    <w:overflowPunct/>
                    <w:topLinePunct w:val="0"/>
                    <w:autoSpaceDE/>
                    <w:autoSpaceDN/>
                    <w:bidi w:val="0"/>
                    <w:spacing w:line="360" w:lineRule="exact"/>
                    <w:ind w:firstLine="0" w:firstLineChars="0"/>
                    <w:jc w:val="center"/>
                    <w:textAlignment w:val="auto"/>
                    <w:rPr>
                      <w:rFonts w:hint="default" w:ascii="Times New Roman" w:hAnsi="Times New Roman" w:cs="Times New Roman"/>
                      <w:color w:val="000000"/>
                      <w:kern w:val="2"/>
                      <w:sz w:val="21"/>
                      <w:szCs w:val="21"/>
                      <w:highlight w:val="none"/>
                      <w:lang w:val="en-US" w:eastAsia="zh-CN" w:bidi="ar-SA"/>
                    </w:rPr>
                  </w:pPr>
                  <w:r>
                    <w:rPr>
                      <w:rFonts w:hint="eastAsia" w:ascii="Times New Roman" w:hAnsi="Times New Roman" w:cs="Times New Roman"/>
                      <w:color w:val="000000"/>
                      <w:kern w:val="2"/>
                      <w:sz w:val="21"/>
                      <w:szCs w:val="21"/>
                      <w:highlight w:val="none"/>
                      <w:lang w:val="en-US" w:eastAsia="zh-CN" w:bidi="ar-SA"/>
                    </w:rPr>
                    <w:t>3</w:t>
                  </w:r>
                </w:p>
              </w:tc>
              <w:tc>
                <w:tcPr>
                  <w:tcW w:w="2060" w:type="dxa"/>
                  <w:tcBorders>
                    <w:tl2br w:val="nil"/>
                    <w:tr2bl w:val="nil"/>
                  </w:tcBorders>
                  <w:noWrap w:val="0"/>
                  <w:vAlign w:val="center"/>
                </w:tcPr>
                <w:p w14:paraId="7AB80B14">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eastAsia="宋体" w:cs="Times New Roman"/>
                      <w:b w:val="0"/>
                      <w:bCs w:val="0"/>
                      <w:i w:val="0"/>
                      <w:iCs w:val="0"/>
                      <w:caps w:val="0"/>
                      <w:color w:val="000000"/>
                      <w:spacing w:val="0"/>
                      <w:kern w:val="0"/>
                      <w:sz w:val="21"/>
                      <w:szCs w:val="21"/>
                      <w:u w:val="none"/>
                      <w:lang w:val="en-US" w:eastAsia="zh-CN" w:bidi="ar-SA"/>
                    </w:rPr>
                  </w:pPr>
                  <w:r>
                    <w:rPr>
                      <w:rFonts w:hint="eastAsia" w:ascii="Times New Roman" w:hAnsi="Times New Roman" w:cs="Times New Roman"/>
                      <w:b w:val="0"/>
                      <w:bCs w:val="0"/>
                      <w:i w:val="0"/>
                      <w:iCs w:val="0"/>
                      <w:caps w:val="0"/>
                      <w:color w:val="000000"/>
                      <w:spacing w:val="0"/>
                      <w:kern w:val="0"/>
                      <w:sz w:val="21"/>
                      <w:szCs w:val="21"/>
                      <w:u w:val="none"/>
                      <w:lang w:val="en-US" w:eastAsia="zh-CN" w:bidi="ar-SA"/>
                    </w:rPr>
                    <w:t>高堎</w:t>
                  </w:r>
                </w:p>
              </w:tc>
              <w:tc>
                <w:tcPr>
                  <w:tcW w:w="1215" w:type="dxa"/>
                  <w:tcBorders>
                    <w:tl2br w:val="nil"/>
                    <w:tr2bl w:val="nil"/>
                  </w:tcBorders>
                  <w:noWrap w:val="0"/>
                  <w:vAlign w:val="center"/>
                </w:tcPr>
                <w:p w14:paraId="2A9AFFCA">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auto"/>
                      <w:sz w:val="21"/>
                      <w:szCs w:val="21"/>
                      <w:lang w:val="en-US" w:eastAsia="zh-CN"/>
                    </w:rPr>
                    <w:t>南</w:t>
                  </w:r>
                </w:p>
              </w:tc>
              <w:tc>
                <w:tcPr>
                  <w:tcW w:w="1770" w:type="dxa"/>
                  <w:tcBorders>
                    <w:tl2br w:val="nil"/>
                    <w:tr2bl w:val="nil"/>
                  </w:tcBorders>
                  <w:noWrap w:val="0"/>
                  <w:vAlign w:val="center"/>
                </w:tcPr>
                <w:p w14:paraId="0B0D6D2B">
                  <w:pPr>
                    <w:keepNext w:val="0"/>
                    <w:keepLines w:val="0"/>
                    <w:pageBreakBefore w:val="0"/>
                    <w:widowControl w:val="0"/>
                    <w:kinsoku/>
                    <w:wordWrap/>
                    <w:overflowPunct/>
                    <w:topLinePunct w:val="0"/>
                    <w:autoSpaceDE/>
                    <w:autoSpaceDN/>
                    <w:bidi w:val="0"/>
                    <w:spacing w:line="360" w:lineRule="exact"/>
                    <w:ind w:firstLine="0" w:firstLineChars="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居民区</w:t>
                  </w:r>
                </w:p>
              </w:tc>
              <w:tc>
                <w:tcPr>
                  <w:tcW w:w="2319" w:type="dxa"/>
                  <w:tcBorders>
                    <w:tl2br w:val="nil"/>
                    <w:tr2bl w:val="nil"/>
                  </w:tcBorders>
                  <w:noWrap w:val="0"/>
                  <w:vAlign w:val="center"/>
                </w:tcPr>
                <w:p w14:paraId="2D04ED2A">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eastAsia="宋体" w:cs="Times New Roman"/>
                      <w:b w:val="0"/>
                      <w:bCs w:val="0"/>
                      <w:i w:val="0"/>
                      <w:iCs w:val="0"/>
                      <w:caps w:val="0"/>
                      <w:color w:val="000000"/>
                      <w:spacing w:val="0"/>
                      <w:kern w:val="0"/>
                      <w:sz w:val="21"/>
                      <w:szCs w:val="21"/>
                      <w:u w:val="none"/>
                      <w:lang w:val="en-US" w:eastAsia="zh-CN" w:bidi="ar-SA"/>
                    </w:rPr>
                  </w:pPr>
                  <w:r>
                    <w:rPr>
                      <w:rFonts w:hint="eastAsia" w:ascii="Times New Roman" w:hAnsi="Times New Roman" w:cs="Times New Roman"/>
                      <w:color w:val="auto"/>
                      <w:sz w:val="21"/>
                      <w:szCs w:val="21"/>
                      <w:lang w:val="en-US" w:eastAsia="zh-CN"/>
                    </w:rPr>
                    <w:t>768</w:t>
                  </w:r>
                </w:p>
              </w:tc>
            </w:tr>
          </w:tbl>
          <w:p w14:paraId="4D18B995">
            <w:pPr>
              <w:keepNext w:val="0"/>
              <w:keepLines w:val="0"/>
              <w:pageBreakBefore w:val="0"/>
              <w:widowControl w:val="0"/>
              <w:kinsoku/>
              <w:wordWrap/>
              <w:overflowPunct/>
              <w:topLinePunct w:val="0"/>
              <w:bidi w:val="0"/>
              <w:adjustRightInd w:val="0"/>
              <w:snapToGrid w:val="0"/>
              <w:spacing w:line="360" w:lineRule="auto"/>
              <w:rPr>
                <w:rFonts w:hint="eastAsia" w:ascii="Times New Roman" w:hAnsi="Times New Roman" w:cs="Times New Roman"/>
                <w:color w:val="000000" w:themeColor="text1"/>
                <w:sz w:val="24"/>
                <w:szCs w:val="24"/>
                <w:lang w:eastAsia="zh-CN"/>
                <w14:textFill>
                  <w14:solidFill>
                    <w14:schemeClr w14:val="tx1"/>
                  </w14:solidFill>
                </w14:textFill>
              </w:rPr>
            </w:pPr>
          </w:p>
          <w:p w14:paraId="1CE535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5999A5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44260A6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57362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28F578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216ACA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607C218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6F33EB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54C3FD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4086AD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792FC5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67BBFF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0247CA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highlight w:val="none"/>
                <w:lang w:eastAsia="zh-CN"/>
              </w:rPr>
            </w:pPr>
          </w:p>
          <w:p w14:paraId="6606CB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eastAsia="宋体" w:cs="Times New Roman"/>
                <w:sz w:val="24"/>
                <w:szCs w:val="24"/>
                <w:lang w:eastAsia="zh-CN"/>
              </w:rPr>
            </w:pPr>
          </w:p>
          <w:p w14:paraId="69DD99E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724FBF9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677C3FD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0DBB616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3F0D8C2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0A61899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162F1E6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71CAB93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66B6173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eastAsia="zh-CN"/>
              </w:rPr>
            </w:pPr>
          </w:p>
          <w:p w14:paraId="7D53FDB5">
            <w:pPr>
              <w:pStyle w:val="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color w:val="auto"/>
                <w:sz w:val="21"/>
                <w:szCs w:val="21"/>
              </w:rPr>
            </w:pPr>
          </w:p>
        </w:tc>
      </w:tr>
    </w:tbl>
    <w:p w14:paraId="5C1B1EEF">
      <w:pPr>
        <w:pStyle w:val="2"/>
        <w:rPr>
          <w:b/>
          <w:bCs w:val="0"/>
          <w:color w:val="000000" w:themeColor="text1"/>
          <w:sz w:val="28"/>
          <w:szCs w:val="28"/>
          <w:lang w:val="en-US" w:eastAsia="zh-CN"/>
          <w14:textFill>
            <w14:solidFill>
              <w14:schemeClr w14:val="tx1"/>
            </w14:solidFill>
          </w14:textFill>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40" w:name="_Toc32268"/>
    </w:p>
    <w:bookmarkEnd w:id="40"/>
    <w:p w14:paraId="08E3A67C">
      <w:pPr>
        <w:pStyle w:val="2"/>
        <w:rPr>
          <w:rFonts w:hint="eastAsia"/>
          <w:color w:val="auto"/>
          <w:lang w:val="en-US" w:eastAsia="zh-CN"/>
        </w:rPr>
      </w:pPr>
      <w:bookmarkStart w:id="41" w:name="_Toc23955"/>
      <w:bookmarkStart w:id="42" w:name="_Toc14040"/>
      <w:bookmarkStart w:id="43" w:name="_Toc13666"/>
      <w:bookmarkStart w:id="44" w:name="_Toc92"/>
      <w:bookmarkStart w:id="45" w:name="_Toc14407"/>
      <w:r>
        <w:rPr>
          <w:rFonts w:hint="eastAsia"/>
          <w:color w:val="auto"/>
          <w:lang w:val="en-US" w:eastAsia="zh-CN"/>
        </w:rPr>
        <w:t>表九 环保检查</w:t>
      </w:r>
      <w:bookmarkEnd w:id="41"/>
      <w:bookmarkEnd w:id="42"/>
      <w:bookmarkEnd w:id="43"/>
      <w:bookmarkEnd w:id="44"/>
    </w:p>
    <w:tbl>
      <w:tblPr>
        <w:tblStyle w:val="24"/>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6075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8" w:hRule="atLeast"/>
          <w:jc w:val="center"/>
        </w:trPr>
        <w:tc>
          <w:tcPr>
            <w:tcW w:w="8521" w:type="dxa"/>
            <w:noWrap w:val="0"/>
            <w:vAlign w:val="top"/>
          </w:tcPr>
          <w:p w14:paraId="76B08958">
            <w:pPr>
              <w:keepNext w:val="0"/>
              <w:keepLines w:val="0"/>
              <w:pageBreakBefore w:val="0"/>
              <w:widowControl w:val="0"/>
              <w:tabs>
                <w:tab w:val="center" w:pos="4536"/>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w:t>
            </w:r>
            <w:r>
              <w:rPr>
                <w:rFonts w:hint="eastAsia" w:ascii="Times New Roman" w:hAnsi="Times New Roman" w:cs="Times New Roman"/>
                <w:b/>
                <w:color w:val="auto"/>
                <w:sz w:val="21"/>
                <w:szCs w:val="21"/>
                <w:lang w:val="en-US" w:eastAsia="zh-CN"/>
              </w:rPr>
              <w:t>9</w:t>
            </w:r>
            <w:r>
              <w:rPr>
                <w:rFonts w:hint="default" w:ascii="Times New Roman" w:hAnsi="Times New Roman" w:eastAsia="宋体" w:cs="Times New Roman"/>
                <w:b/>
                <w:color w:val="auto"/>
                <w:sz w:val="21"/>
                <w:szCs w:val="21"/>
                <w:lang w:val="en-US" w:eastAsia="zh-CN"/>
              </w:rPr>
              <w:t>-1</w:t>
            </w:r>
            <w:r>
              <w:rPr>
                <w:rFonts w:hint="default" w:ascii="Times New Roman" w:hAnsi="Times New Roman" w:eastAsia="宋体" w:cs="Times New Roman"/>
                <w:b/>
                <w:color w:val="auto"/>
                <w:sz w:val="21"/>
                <w:szCs w:val="21"/>
              </w:rPr>
              <w:t>项目</w:t>
            </w:r>
            <w:r>
              <w:rPr>
                <w:rFonts w:hint="default" w:ascii="Times New Roman" w:hAnsi="Times New Roman" w:eastAsia="宋体" w:cs="Times New Roman"/>
                <w:b/>
                <w:color w:val="auto"/>
                <w:sz w:val="21"/>
                <w:szCs w:val="21"/>
                <w:lang w:eastAsia="zh-CN"/>
              </w:rPr>
              <w:t>环保设施</w:t>
            </w:r>
            <w:r>
              <w:rPr>
                <w:rFonts w:hint="default" w:ascii="Times New Roman" w:hAnsi="Times New Roman" w:eastAsia="宋体" w:cs="Times New Roman"/>
                <w:b/>
                <w:color w:val="auto"/>
                <w:sz w:val="21"/>
                <w:szCs w:val="21"/>
              </w:rPr>
              <w:t>环评、批复要求及实际建成情况对比表</w:t>
            </w:r>
          </w:p>
          <w:tbl>
            <w:tblPr>
              <w:tblStyle w:val="25"/>
              <w:tblW w:w="827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209"/>
              <w:gridCol w:w="2205"/>
              <w:gridCol w:w="2250"/>
              <w:gridCol w:w="2175"/>
            </w:tblGrid>
            <w:tr w14:paraId="46382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1648" w:type="dxa"/>
                  <w:gridSpan w:val="2"/>
                  <w:tcBorders>
                    <w:tl2br w:val="nil"/>
                    <w:tr2bl w:val="nil"/>
                  </w:tcBorders>
                  <w:noWrap w:val="0"/>
                  <w:vAlign w:val="center"/>
                </w:tcPr>
                <w:p w14:paraId="503F54E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污染源</w:t>
                  </w:r>
                </w:p>
              </w:tc>
              <w:tc>
                <w:tcPr>
                  <w:tcW w:w="2205" w:type="dxa"/>
                  <w:tcBorders>
                    <w:tl2br w:val="nil"/>
                    <w:tr2bl w:val="nil"/>
                  </w:tcBorders>
                  <w:noWrap w:val="0"/>
                  <w:vAlign w:val="center"/>
                </w:tcPr>
                <w:p w14:paraId="6EE7F6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环评要求</w:t>
                  </w:r>
                </w:p>
              </w:tc>
              <w:tc>
                <w:tcPr>
                  <w:tcW w:w="2250" w:type="dxa"/>
                  <w:tcBorders>
                    <w:tl2br w:val="nil"/>
                    <w:tr2bl w:val="nil"/>
                  </w:tcBorders>
                  <w:noWrap w:val="0"/>
                  <w:vAlign w:val="center"/>
                </w:tcPr>
                <w:p w14:paraId="71696AC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批复要求</w:t>
                  </w:r>
                </w:p>
              </w:tc>
              <w:tc>
                <w:tcPr>
                  <w:tcW w:w="2175" w:type="dxa"/>
                  <w:tcBorders>
                    <w:tl2br w:val="nil"/>
                    <w:tr2bl w:val="nil"/>
                  </w:tcBorders>
                  <w:noWrap w:val="0"/>
                  <w:vAlign w:val="center"/>
                </w:tcPr>
                <w:p w14:paraId="513B92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lang w:eastAsia="zh-CN"/>
                    </w:rPr>
                  </w:pPr>
                  <w:r>
                    <w:rPr>
                      <w:rFonts w:hint="default" w:ascii="Times New Roman" w:hAnsi="Times New Roman" w:cs="Times New Roman" w:eastAsiaTheme="minorEastAsia"/>
                      <w:b/>
                      <w:color w:val="auto"/>
                      <w:sz w:val="21"/>
                      <w:szCs w:val="21"/>
                      <w:lang w:eastAsia="zh-CN"/>
                    </w:rPr>
                    <w:t>实际建设</w:t>
                  </w:r>
                </w:p>
              </w:tc>
            </w:tr>
            <w:tr w14:paraId="254D40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439" w:type="dxa"/>
                  <w:vMerge w:val="restart"/>
                  <w:tcBorders>
                    <w:tl2br w:val="nil"/>
                    <w:tr2bl w:val="nil"/>
                  </w:tcBorders>
                  <w:noWrap w:val="0"/>
                  <w:vAlign w:val="center"/>
                </w:tcPr>
                <w:p w14:paraId="5B8F88F2">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cs="Times New Roman" w:eastAsiaTheme="minorEastAsia"/>
                      <w:color w:val="auto"/>
                      <w:kern w:val="2"/>
                      <w:sz w:val="21"/>
                      <w:szCs w:val="21"/>
                      <w:lang w:val="en-US" w:eastAsia="zh-CN" w:bidi="ar-SA"/>
                    </w:rPr>
                    <w:t>废水</w:t>
                  </w:r>
                </w:p>
              </w:tc>
              <w:tc>
                <w:tcPr>
                  <w:tcW w:w="1209" w:type="dxa"/>
                  <w:tcBorders>
                    <w:tl2br w:val="nil"/>
                    <w:tr2bl w:val="nil"/>
                  </w:tcBorders>
                  <w:noWrap w:val="0"/>
                  <w:vAlign w:val="center"/>
                </w:tcPr>
                <w:p w14:paraId="1EE19A59">
                  <w:pPr>
                    <w:ind w:firstLine="0" w:firstLineChars="0"/>
                    <w:jc w:val="center"/>
                    <w:rPr>
                      <w:rFonts w:hint="eastAsia"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初期雨水</w:t>
                  </w:r>
                </w:p>
              </w:tc>
              <w:tc>
                <w:tcPr>
                  <w:tcW w:w="2205" w:type="dxa"/>
                  <w:tcBorders>
                    <w:tl2br w:val="nil"/>
                    <w:tr2bl w:val="nil"/>
                  </w:tcBorders>
                  <w:noWrap w:val="0"/>
                  <w:vAlign w:val="center"/>
                </w:tcPr>
                <w:p w14:paraId="5683D2D6">
                  <w:pPr>
                    <w:ind w:firstLine="0" w:firstLineChars="0"/>
                    <w:jc w:val="center"/>
                    <w:rPr>
                      <w:rFonts w:hint="default"/>
                      <w:lang w:val="en-US" w:eastAsia="zh-CN"/>
                    </w:rPr>
                  </w:pPr>
                  <w:r>
                    <w:rPr>
                      <w:rFonts w:hint="default" w:ascii="Times New Roman" w:hAnsi="Times New Roman" w:cs="Times New Roman" w:eastAsiaTheme="minorEastAsia"/>
                      <w:color w:val="auto"/>
                      <w:kern w:val="2"/>
                      <w:sz w:val="21"/>
                      <w:szCs w:val="21"/>
                      <w:lang w:val="en-US" w:eastAsia="zh-CN" w:bidi="ar-SA"/>
                    </w:rPr>
                    <w:t>经初期雨水收集池沉淀后用于洒水降尘</w:t>
                  </w:r>
                </w:p>
              </w:tc>
              <w:tc>
                <w:tcPr>
                  <w:tcW w:w="2250" w:type="dxa"/>
                  <w:tcBorders>
                    <w:tl2br w:val="nil"/>
                    <w:tr2bl w:val="nil"/>
                  </w:tcBorders>
                  <w:shd w:val="clear" w:color="auto" w:fill="auto"/>
                  <w:noWrap w:val="0"/>
                  <w:vAlign w:val="center"/>
                </w:tcPr>
                <w:p w14:paraId="79E8F93B">
                  <w:pPr>
                    <w:ind w:firstLine="0" w:firstLineChars="0"/>
                    <w:jc w:val="center"/>
                    <w:rPr>
                      <w:rFonts w:hint="eastAsia" w:ascii="Calibri" w:hAnsi="Calibri" w:eastAsia="宋体" w:cs="Times New Roman"/>
                      <w:kern w:val="2"/>
                      <w:sz w:val="21"/>
                      <w:szCs w:val="24"/>
                      <w:lang w:val="en-US" w:eastAsia="zh-CN" w:bidi="ar-SA"/>
                    </w:rPr>
                  </w:pPr>
                  <w:r>
                    <w:rPr>
                      <w:rFonts w:hint="default" w:ascii="Times New Roman" w:hAnsi="Times New Roman" w:cs="Times New Roman" w:eastAsiaTheme="minorEastAsia"/>
                      <w:color w:val="auto"/>
                      <w:kern w:val="2"/>
                      <w:sz w:val="21"/>
                      <w:szCs w:val="21"/>
                      <w:lang w:val="en-US" w:eastAsia="zh-CN" w:bidi="ar-SA"/>
                    </w:rPr>
                    <w:t>经初期雨水收集池沉淀后用于洒水降尘</w:t>
                  </w:r>
                </w:p>
              </w:tc>
              <w:tc>
                <w:tcPr>
                  <w:tcW w:w="2175" w:type="dxa"/>
                  <w:tcBorders>
                    <w:tl2br w:val="nil"/>
                    <w:tr2bl w:val="nil"/>
                  </w:tcBorders>
                  <w:shd w:val="clear" w:color="auto" w:fill="auto"/>
                  <w:noWrap w:val="0"/>
                  <w:vAlign w:val="center"/>
                </w:tcPr>
                <w:p w14:paraId="4511269D">
                  <w:pPr>
                    <w:ind w:firstLine="0" w:firstLineChars="0"/>
                    <w:jc w:val="center"/>
                    <w:rPr>
                      <w:rFonts w:hint="default" w:ascii="Calibri" w:hAnsi="Calibri" w:eastAsia="宋体" w:cs="Times New Roman"/>
                      <w:kern w:val="2"/>
                      <w:sz w:val="21"/>
                      <w:szCs w:val="24"/>
                      <w:lang w:val="en-US" w:eastAsia="zh-CN" w:bidi="ar-SA"/>
                    </w:rPr>
                  </w:pPr>
                  <w:r>
                    <w:rPr>
                      <w:rFonts w:hint="default" w:ascii="Times New Roman" w:hAnsi="Times New Roman" w:cs="Times New Roman" w:eastAsiaTheme="minorEastAsia"/>
                      <w:color w:val="auto"/>
                      <w:kern w:val="2"/>
                      <w:sz w:val="21"/>
                      <w:szCs w:val="21"/>
                      <w:lang w:val="en-US" w:eastAsia="zh-CN" w:bidi="ar-SA"/>
                    </w:rPr>
                    <w:t>所有生产工序均在密闭车间内，初期雨水经收集沉淀后通过厂区雨水排口外排</w:t>
                  </w:r>
                </w:p>
              </w:tc>
            </w:tr>
            <w:tr w14:paraId="709208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439" w:type="dxa"/>
                  <w:vMerge w:val="continue"/>
                  <w:tcBorders>
                    <w:tl2br w:val="nil"/>
                    <w:tr2bl w:val="nil"/>
                  </w:tcBorders>
                  <w:noWrap w:val="0"/>
                  <w:vAlign w:val="center"/>
                </w:tcPr>
                <w:p w14:paraId="3D2E1876">
                  <w:pPr>
                    <w:ind w:firstLine="0" w:firstLineChars="0"/>
                    <w:jc w:val="center"/>
                  </w:pPr>
                </w:p>
              </w:tc>
              <w:tc>
                <w:tcPr>
                  <w:tcW w:w="1209" w:type="dxa"/>
                  <w:tcBorders>
                    <w:tl2br w:val="nil"/>
                    <w:tr2bl w:val="nil"/>
                  </w:tcBorders>
                  <w:noWrap w:val="0"/>
                  <w:vAlign w:val="center"/>
                </w:tcPr>
                <w:p w14:paraId="6764C63F">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检测废水</w:t>
                  </w:r>
                </w:p>
              </w:tc>
              <w:tc>
                <w:tcPr>
                  <w:tcW w:w="2205" w:type="dxa"/>
                  <w:tcBorders>
                    <w:tl2br w:val="nil"/>
                    <w:tr2bl w:val="nil"/>
                  </w:tcBorders>
                  <w:noWrap w:val="0"/>
                  <w:vAlign w:val="center"/>
                </w:tcPr>
                <w:p w14:paraId="17EE6E99">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经沉淀处理后用于洒水降尘</w:t>
                  </w:r>
                </w:p>
              </w:tc>
              <w:tc>
                <w:tcPr>
                  <w:tcW w:w="2250" w:type="dxa"/>
                  <w:tcBorders>
                    <w:tl2br w:val="nil"/>
                    <w:tr2bl w:val="nil"/>
                  </w:tcBorders>
                  <w:shd w:val="clear" w:color="auto" w:fill="auto"/>
                  <w:noWrap w:val="0"/>
                  <w:vAlign w:val="center"/>
                </w:tcPr>
                <w:p w14:paraId="05924BFF">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经沉淀处理后用于洒水降尘</w:t>
                  </w:r>
                </w:p>
              </w:tc>
              <w:tc>
                <w:tcPr>
                  <w:tcW w:w="2175" w:type="dxa"/>
                  <w:tcBorders>
                    <w:tl2br w:val="nil"/>
                    <w:tr2bl w:val="nil"/>
                  </w:tcBorders>
                  <w:shd w:val="clear" w:color="auto" w:fill="auto"/>
                  <w:noWrap w:val="0"/>
                  <w:vAlign w:val="center"/>
                </w:tcPr>
                <w:p w14:paraId="0B1330AB">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经沉淀处理后用于洒水降尘</w:t>
                  </w:r>
                </w:p>
              </w:tc>
            </w:tr>
            <w:tr w14:paraId="6FA5E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439" w:type="dxa"/>
                  <w:vMerge w:val="continue"/>
                  <w:tcBorders>
                    <w:tl2br w:val="nil"/>
                    <w:tr2bl w:val="nil"/>
                  </w:tcBorders>
                  <w:noWrap w:val="0"/>
                  <w:vAlign w:val="center"/>
                </w:tcPr>
                <w:p w14:paraId="64128001">
                  <w:pPr>
                    <w:ind w:firstLine="0" w:firstLineChars="0"/>
                    <w:jc w:val="center"/>
                  </w:pPr>
                </w:p>
              </w:tc>
              <w:tc>
                <w:tcPr>
                  <w:tcW w:w="1209" w:type="dxa"/>
                  <w:tcBorders>
                    <w:tl2br w:val="nil"/>
                    <w:tr2bl w:val="nil"/>
                  </w:tcBorders>
                  <w:noWrap w:val="0"/>
                  <w:vAlign w:val="center"/>
                </w:tcPr>
                <w:p w14:paraId="17B21597">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车辆清洗废水</w:t>
                  </w:r>
                </w:p>
              </w:tc>
              <w:tc>
                <w:tcPr>
                  <w:tcW w:w="2205" w:type="dxa"/>
                  <w:tcBorders>
                    <w:tl2br w:val="nil"/>
                    <w:tr2bl w:val="nil"/>
                  </w:tcBorders>
                  <w:noWrap w:val="0"/>
                  <w:vAlign w:val="center"/>
                </w:tcPr>
                <w:p w14:paraId="0BBC6BBA">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经车辆清洗废水沉淀池处理后循环使用</w:t>
                  </w:r>
                </w:p>
              </w:tc>
              <w:tc>
                <w:tcPr>
                  <w:tcW w:w="2250" w:type="dxa"/>
                  <w:tcBorders>
                    <w:tl2br w:val="nil"/>
                    <w:tr2bl w:val="nil"/>
                  </w:tcBorders>
                  <w:shd w:val="clear" w:color="auto" w:fill="auto"/>
                  <w:noWrap w:val="0"/>
                  <w:vAlign w:val="center"/>
                </w:tcPr>
                <w:p w14:paraId="1EE0DDCB">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经车辆清洗废水沉淀池处理后循环使用</w:t>
                  </w:r>
                </w:p>
              </w:tc>
              <w:tc>
                <w:tcPr>
                  <w:tcW w:w="2175" w:type="dxa"/>
                  <w:tcBorders>
                    <w:tl2br w:val="nil"/>
                    <w:tr2bl w:val="nil"/>
                  </w:tcBorders>
                  <w:shd w:val="clear" w:color="auto" w:fill="auto"/>
                  <w:noWrap w:val="0"/>
                  <w:vAlign w:val="center"/>
                </w:tcPr>
                <w:p w14:paraId="71623DD2">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所有原料和产品均为袋装，地面比较干净，运输车辆较少，轮胎携带的粉尘较少，无需设置车辆清洗平台</w:t>
                  </w:r>
                </w:p>
              </w:tc>
            </w:tr>
            <w:tr w14:paraId="73C217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439" w:type="dxa"/>
                  <w:vMerge w:val="continue"/>
                  <w:tcBorders>
                    <w:tl2br w:val="nil"/>
                    <w:tr2bl w:val="nil"/>
                  </w:tcBorders>
                  <w:noWrap w:val="0"/>
                  <w:vAlign w:val="center"/>
                </w:tcPr>
                <w:p w14:paraId="3E4AE6DF">
                  <w:pPr>
                    <w:ind w:firstLine="0" w:firstLineChars="0"/>
                    <w:jc w:val="center"/>
                    <w:rPr>
                      <w:rFonts w:hint="default" w:ascii="Times New Roman" w:hAnsi="Times New Roman" w:cs="Times New Roman" w:eastAsiaTheme="minorEastAsia"/>
                      <w:color w:val="auto"/>
                      <w:kern w:val="2"/>
                      <w:sz w:val="21"/>
                      <w:szCs w:val="21"/>
                      <w:lang w:val="en-US" w:eastAsia="zh-CN" w:bidi="ar-SA"/>
                    </w:rPr>
                  </w:pPr>
                </w:p>
              </w:tc>
              <w:tc>
                <w:tcPr>
                  <w:tcW w:w="1209" w:type="dxa"/>
                  <w:tcBorders>
                    <w:tl2br w:val="nil"/>
                    <w:tr2bl w:val="nil"/>
                  </w:tcBorders>
                  <w:noWrap w:val="0"/>
                  <w:vAlign w:val="center"/>
                </w:tcPr>
                <w:p w14:paraId="26709D16">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生活污水</w:t>
                  </w:r>
                </w:p>
              </w:tc>
              <w:tc>
                <w:tcPr>
                  <w:tcW w:w="2205" w:type="dxa"/>
                  <w:tcBorders>
                    <w:tl2br w:val="nil"/>
                    <w:tr2bl w:val="nil"/>
                  </w:tcBorders>
                  <w:noWrap w:val="0"/>
                  <w:vAlign w:val="center"/>
                </w:tcPr>
                <w:p w14:paraId="482E7FF4">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经化粪池处理后定期清掏用于农田施肥</w:t>
                  </w:r>
                </w:p>
              </w:tc>
              <w:tc>
                <w:tcPr>
                  <w:tcW w:w="2250" w:type="dxa"/>
                  <w:tcBorders>
                    <w:tl2br w:val="nil"/>
                    <w:tr2bl w:val="nil"/>
                  </w:tcBorders>
                  <w:shd w:val="clear" w:color="auto" w:fill="auto"/>
                  <w:noWrap w:val="0"/>
                  <w:vAlign w:val="center"/>
                </w:tcPr>
                <w:p w14:paraId="40F260F2">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经化粪池处理后定期清掏用于农田施肥</w:t>
                  </w:r>
                </w:p>
              </w:tc>
              <w:tc>
                <w:tcPr>
                  <w:tcW w:w="2175" w:type="dxa"/>
                  <w:tcBorders>
                    <w:tl2br w:val="nil"/>
                    <w:tr2bl w:val="nil"/>
                  </w:tcBorders>
                  <w:shd w:val="clear" w:color="auto" w:fill="auto"/>
                  <w:noWrap w:val="0"/>
                  <w:vAlign w:val="center"/>
                </w:tcPr>
                <w:p w14:paraId="75965781">
                  <w:pPr>
                    <w:ind w:firstLine="0" w:firstLine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经化粪池处理后定期清掏用于农田施肥</w:t>
                  </w:r>
                </w:p>
              </w:tc>
            </w:tr>
            <w:tr w14:paraId="5D824A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9" w:type="dxa"/>
                  <w:vMerge w:val="restart"/>
                  <w:tcBorders>
                    <w:tl2br w:val="nil"/>
                    <w:tr2bl w:val="nil"/>
                  </w:tcBorders>
                  <w:noWrap w:val="0"/>
                  <w:vAlign w:val="center"/>
                </w:tcPr>
                <w:p w14:paraId="6B0E18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废气</w:t>
                  </w:r>
                </w:p>
              </w:tc>
              <w:tc>
                <w:tcPr>
                  <w:tcW w:w="1209" w:type="dxa"/>
                  <w:tcBorders>
                    <w:tl2br w:val="nil"/>
                    <w:tr2bl w:val="nil"/>
                  </w:tcBorders>
                  <w:noWrap w:val="0"/>
                  <w:vAlign w:val="center"/>
                </w:tcPr>
                <w:p w14:paraId="55B2626D">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装卸转运扬尘</w:t>
                  </w:r>
                </w:p>
              </w:tc>
              <w:tc>
                <w:tcPr>
                  <w:tcW w:w="2205" w:type="dxa"/>
                  <w:vMerge w:val="restart"/>
                  <w:tcBorders>
                    <w:tl2br w:val="nil"/>
                    <w:tr2bl w:val="nil"/>
                  </w:tcBorders>
                  <w:noWrap w:val="0"/>
                  <w:vAlign w:val="center"/>
                </w:tcPr>
                <w:p w14:paraId="68C2B62A">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采取洒水降尘措施</w:t>
                  </w:r>
                </w:p>
              </w:tc>
              <w:tc>
                <w:tcPr>
                  <w:tcW w:w="2250" w:type="dxa"/>
                  <w:vMerge w:val="restart"/>
                  <w:tcBorders>
                    <w:tl2br w:val="nil"/>
                    <w:tr2bl w:val="nil"/>
                  </w:tcBorders>
                  <w:noWrap w:val="0"/>
                  <w:vAlign w:val="center"/>
                </w:tcPr>
                <w:p w14:paraId="4DE390A3">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采取洒水降尘措施</w:t>
                  </w:r>
                </w:p>
              </w:tc>
              <w:tc>
                <w:tcPr>
                  <w:tcW w:w="2175" w:type="dxa"/>
                  <w:vMerge w:val="restart"/>
                  <w:tcBorders>
                    <w:tl2br w:val="nil"/>
                    <w:tr2bl w:val="nil"/>
                  </w:tcBorders>
                  <w:noWrap w:val="0"/>
                  <w:vAlign w:val="center"/>
                </w:tcPr>
                <w:p w14:paraId="45FE31E0">
                  <w:pPr>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采取洒水降尘措施</w:t>
                  </w:r>
                </w:p>
              </w:tc>
            </w:tr>
            <w:tr w14:paraId="77C0E4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9" w:type="dxa"/>
                  <w:vMerge w:val="continue"/>
                  <w:tcBorders>
                    <w:tl2br w:val="nil"/>
                    <w:tr2bl w:val="nil"/>
                  </w:tcBorders>
                  <w:noWrap w:val="0"/>
                  <w:vAlign w:val="center"/>
                </w:tcPr>
                <w:p w14:paraId="05D46269">
                  <w:pPr>
                    <w:ind w:firstLine="0" w:firstLineChars="0"/>
                    <w:jc w:val="center"/>
                  </w:pPr>
                </w:p>
              </w:tc>
              <w:tc>
                <w:tcPr>
                  <w:tcW w:w="1209" w:type="dxa"/>
                  <w:tcBorders>
                    <w:tl2br w:val="nil"/>
                    <w:tr2bl w:val="nil"/>
                  </w:tcBorders>
                  <w:noWrap w:val="0"/>
                  <w:vAlign w:val="center"/>
                </w:tcPr>
                <w:p w14:paraId="1951B16C">
                  <w:pPr>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堆场粉尘</w:t>
                  </w:r>
                </w:p>
              </w:tc>
              <w:tc>
                <w:tcPr>
                  <w:tcW w:w="2205" w:type="dxa"/>
                  <w:vMerge w:val="continue"/>
                  <w:tcBorders>
                    <w:tl2br w:val="nil"/>
                    <w:tr2bl w:val="nil"/>
                  </w:tcBorders>
                  <w:noWrap w:val="0"/>
                  <w:vAlign w:val="center"/>
                </w:tcPr>
                <w:p w14:paraId="2BE6A490">
                  <w:pPr>
                    <w:ind w:firstLine="0" w:firstLineChars="0"/>
                    <w:jc w:val="center"/>
                    <w:rPr>
                      <w:rFonts w:hint="default" w:ascii="Times New Roman" w:hAnsi="Times New Roman" w:cs="Times New Roman"/>
                      <w:lang w:val="en-US" w:eastAsia="zh-CN"/>
                    </w:rPr>
                  </w:pPr>
                </w:p>
              </w:tc>
              <w:tc>
                <w:tcPr>
                  <w:tcW w:w="2250" w:type="dxa"/>
                  <w:vMerge w:val="continue"/>
                  <w:tcBorders>
                    <w:tl2br w:val="nil"/>
                    <w:tr2bl w:val="nil"/>
                  </w:tcBorders>
                  <w:noWrap w:val="0"/>
                  <w:vAlign w:val="center"/>
                </w:tcPr>
                <w:p w14:paraId="5D37EB16">
                  <w:pPr>
                    <w:ind w:firstLine="0" w:firstLineChars="0"/>
                    <w:jc w:val="center"/>
                    <w:rPr>
                      <w:rFonts w:hint="default" w:ascii="Times New Roman" w:hAnsi="Times New Roman" w:cs="Times New Roman"/>
                      <w:lang w:val="en-US" w:eastAsia="zh-CN"/>
                    </w:rPr>
                  </w:pPr>
                </w:p>
              </w:tc>
              <w:tc>
                <w:tcPr>
                  <w:tcW w:w="2175" w:type="dxa"/>
                  <w:vMerge w:val="continue"/>
                  <w:tcBorders>
                    <w:tl2br w:val="nil"/>
                    <w:tr2bl w:val="nil"/>
                  </w:tcBorders>
                  <w:noWrap w:val="0"/>
                  <w:vAlign w:val="center"/>
                </w:tcPr>
                <w:p w14:paraId="24BC9DC7">
                  <w:pPr>
                    <w:ind w:firstLine="0" w:firstLineChars="0"/>
                    <w:jc w:val="center"/>
                    <w:rPr>
                      <w:rFonts w:hint="default" w:ascii="Times New Roman" w:hAnsi="Times New Roman" w:cs="Times New Roman"/>
                      <w:lang w:val="en-US" w:eastAsia="zh-CN"/>
                    </w:rPr>
                  </w:pPr>
                </w:p>
              </w:tc>
            </w:tr>
            <w:tr w14:paraId="2F63F2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39" w:type="dxa"/>
                  <w:vMerge w:val="continue"/>
                  <w:tcBorders>
                    <w:tl2br w:val="nil"/>
                    <w:tr2bl w:val="nil"/>
                  </w:tcBorders>
                  <w:noWrap w:val="0"/>
                  <w:vAlign w:val="center"/>
                </w:tcPr>
                <w:p w14:paraId="2CE6356D">
                  <w:pPr>
                    <w:ind w:firstLine="0" w:firstLineChars="0"/>
                    <w:jc w:val="center"/>
                  </w:pPr>
                </w:p>
              </w:tc>
              <w:tc>
                <w:tcPr>
                  <w:tcW w:w="1209" w:type="dxa"/>
                  <w:tcBorders>
                    <w:tl2br w:val="nil"/>
                    <w:tr2bl w:val="nil"/>
                  </w:tcBorders>
                  <w:noWrap w:val="0"/>
                  <w:vAlign w:val="center"/>
                </w:tcPr>
                <w:p w14:paraId="6B380F3A">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投料粉尘</w:t>
                  </w:r>
                </w:p>
              </w:tc>
              <w:tc>
                <w:tcPr>
                  <w:tcW w:w="2205" w:type="dxa"/>
                  <w:vMerge w:val="restart"/>
                  <w:tcBorders>
                    <w:tl2br w:val="nil"/>
                    <w:tr2bl w:val="nil"/>
                  </w:tcBorders>
                  <w:noWrap w:val="0"/>
                  <w:vAlign w:val="center"/>
                </w:tcPr>
                <w:p w14:paraId="4C1CA0F0">
                  <w:pPr>
                    <w:ind w:firstLine="0" w:firstLineChars="0"/>
                    <w:jc w:val="center"/>
                    <w:rPr>
                      <w:rFonts w:hint="eastAsia"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经脉冲除尘器处理后由一根15m高排气筒（DA001）排放</w:t>
                  </w:r>
                </w:p>
              </w:tc>
              <w:tc>
                <w:tcPr>
                  <w:tcW w:w="2250" w:type="dxa"/>
                  <w:vMerge w:val="restart"/>
                  <w:tcBorders>
                    <w:tl2br w:val="nil"/>
                    <w:tr2bl w:val="nil"/>
                  </w:tcBorders>
                  <w:shd w:val="clear" w:color="auto" w:fill="auto"/>
                  <w:noWrap w:val="0"/>
                  <w:vAlign w:val="center"/>
                </w:tcPr>
                <w:p w14:paraId="0C44C780">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经脉冲除尘器处理后由一根15m高排气筒（DA001）排放</w:t>
                  </w:r>
                </w:p>
              </w:tc>
              <w:tc>
                <w:tcPr>
                  <w:tcW w:w="2175" w:type="dxa"/>
                  <w:vMerge w:val="restart"/>
                  <w:tcBorders>
                    <w:tl2br w:val="nil"/>
                    <w:tr2bl w:val="nil"/>
                  </w:tcBorders>
                  <w:noWrap w:val="0"/>
                  <w:vAlign w:val="center"/>
                </w:tcPr>
                <w:p w14:paraId="135369F8">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经脉冲除尘器处理后由一根15m高排气筒（DA001）排放</w:t>
                  </w:r>
                </w:p>
              </w:tc>
            </w:tr>
            <w:tr w14:paraId="03B7B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39" w:type="dxa"/>
                  <w:vMerge w:val="continue"/>
                  <w:tcBorders>
                    <w:tl2br w:val="nil"/>
                    <w:tr2bl w:val="nil"/>
                  </w:tcBorders>
                  <w:noWrap w:val="0"/>
                  <w:vAlign w:val="center"/>
                </w:tcPr>
                <w:p w14:paraId="09D42A9B">
                  <w:pPr>
                    <w:ind w:firstLine="0" w:firstLineChars="0"/>
                    <w:jc w:val="center"/>
                  </w:pPr>
                </w:p>
              </w:tc>
              <w:tc>
                <w:tcPr>
                  <w:tcW w:w="1209" w:type="dxa"/>
                  <w:tcBorders>
                    <w:tl2br w:val="nil"/>
                    <w:tr2bl w:val="nil"/>
                  </w:tcBorders>
                  <w:noWrap w:val="0"/>
                  <w:vAlign w:val="center"/>
                </w:tcPr>
                <w:p w14:paraId="7A911AFF">
                  <w:pPr>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混合粉尘</w:t>
                  </w:r>
                </w:p>
              </w:tc>
              <w:tc>
                <w:tcPr>
                  <w:tcW w:w="2205" w:type="dxa"/>
                  <w:vMerge w:val="continue"/>
                  <w:tcBorders>
                    <w:tl2br w:val="nil"/>
                    <w:tr2bl w:val="nil"/>
                  </w:tcBorders>
                  <w:noWrap w:val="0"/>
                  <w:vAlign w:val="center"/>
                </w:tcPr>
                <w:p w14:paraId="3DDB2C98">
                  <w:pPr>
                    <w:ind w:firstLine="0" w:firstLineChars="0"/>
                    <w:jc w:val="center"/>
                    <w:rPr>
                      <w:rFonts w:hint="default" w:ascii="Times New Roman" w:hAnsi="Times New Roman" w:cs="Times New Roman"/>
                      <w:lang w:val="en-US" w:eastAsia="zh-CN"/>
                    </w:rPr>
                  </w:pPr>
                </w:p>
              </w:tc>
              <w:tc>
                <w:tcPr>
                  <w:tcW w:w="2250" w:type="dxa"/>
                  <w:vMerge w:val="continue"/>
                  <w:tcBorders>
                    <w:tl2br w:val="nil"/>
                    <w:tr2bl w:val="nil"/>
                  </w:tcBorders>
                  <w:shd w:val="clear" w:color="auto" w:fill="auto"/>
                  <w:noWrap w:val="0"/>
                  <w:vAlign w:val="center"/>
                </w:tcPr>
                <w:p w14:paraId="765FFA5E">
                  <w:pPr>
                    <w:ind w:firstLine="0" w:firstLineChars="0"/>
                    <w:jc w:val="center"/>
                    <w:rPr>
                      <w:rFonts w:hint="default" w:ascii="Times New Roman" w:hAnsi="Times New Roman" w:cs="Times New Roman"/>
                      <w:lang w:val="en-US" w:eastAsia="zh-CN"/>
                    </w:rPr>
                  </w:pPr>
                </w:p>
              </w:tc>
              <w:tc>
                <w:tcPr>
                  <w:tcW w:w="2175" w:type="dxa"/>
                  <w:vMerge w:val="continue"/>
                  <w:tcBorders>
                    <w:tl2br w:val="nil"/>
                    <w:tr2bl w:val="nil"/>
                  </w:tcBorders>
                  <w:noWrap w:val="0"/>
                  <w:vAlign w:val="center"/>
                </w:tcPr>
                <w:p w14:paraId="7829B47B">
                  <w:pPr>
                    <w:ind w:firstLine="0" w:firstLineChars="0"/>
                    <w:jc w:val="center"/>
                    <w:rPr>
                      <w:rFonts w:hint="default" w:ascii="Times New Roman" w:hAnsi="Times New Roman" w:cs="Times New Roman"/>
                      <w:lang w:val="en-US" w:eastAsia="zh-CN"/>
                    </w:rPr>
                  </w:pPr>
                </w:p>
              </w:tc>
            </w:tr>
            <w:tr w14:paraId="674B39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439" w:type="dxa"/>
                  <w:vMerge w:val="continue"/>
                  <w:tcBorders>
                    <w:tl2br w:val="nil"/>
                    <w:tr2bl w:val="nil"/>
                  </w:tcBorders>
                  <w:noWrap w:val="0"/>
                  <w:vAlign w:val="center"/>
                </w:tcPr>
                <w:p w14:paraId="29E58ED8">
                  <w:pPr>
                    <w:ind w:firstLine="0" w:firstLineChars="0"/>
                    <w:jc w:val="center"/>
                  </w:pPr>
                </w:p>
              </w:tc>
              <w:tc>
                <w:tcPr>
                  <w:tcW w:w="1209" w:type="dxa"/>
                  <w:tcBorders>
                    <w:tl2br w:val="nil"/>
                    <w:tr2bl w:val="nil"/>
                  </w:tcBorders>
                  <w:noWrap w:val="0"/>
                  <w:vAlign w:val="center"/>
                </w:tcPr>
                <w:p w14:paraId="0A6E8987">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检测粉尘</w:t>
                  </w:r>
                </w:p>
              </w:tc>
              <w:tc>
                <w:tcPr>
                  <w:tcW w:w="2205" w:type="dxa"/>
                  <w:vMerge w:val="restart"/>
                  <w:tcBorders>
                    <w:tl2br w:val="nil"/>
                    <w:tr2bl w:val="nil"/>
                  </w:tcBorders>
                  <w:noWrap w:val="0"/>
                  <w:vAlign w:val="center"/>
                </w:tcPr>
                <w:p w14:paraId="5EAADCD1">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经车间自然沉降后无组织排放</w:t>
                  </w:r>
                </w:p>
              </w:tc>
              <w:tc>
                <w:tcPr>
                  <w:tcW w:w="2250" w:type="dxa"/>
                  <w:vMerge w:val="restart"/>
                  <w:tcBorders>
                    <w:tl2br w:val="nil"/>
                    <w:tr2bl w:val="nil"/>
                  </w:tcBorders>
                  <w:shd w:val="clear" w:color="auto" w:fill="auto"/>
                  <w:noWrap w:val="0"/>
                  <w:vAlign w:val="center"/>
                </w:tcPr>
                <w:p w14:paraId="0E69FEF2">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经车间自然沉降后无组织排放</w:t>
                  </w:r>
                </w:p>
              </w:tc>
              <w:tc>
                <w:tcPr>
                  <w:tcW w:w="2175" w:type="dxa"/>
                  <w:vMerge w:val="restart"/>
                  <w:tcBorders>
                    <w:tl2br w:val="nil"/>
                    <w:tr2bl w:val="nil"/>
                  </w:tcBorders>
                  <w:noWrap w:val="0"/>
                  <w:vAlign w:val="center"/>
                </w:tcPr>
                <w:p w14:paraId="398CC643">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经车间自然沉降后无组织排放</w:t>
                  </w:r>
                </w:p>
              </w:tc>
            </w:tr>
            <w:tr w14:paraId="27D7E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39" w:type="dxa"/>
                  <w:vMerge w:val="continue"/>
                  <w:tcBorders>
                    <w:tl2br w:val="nil"/>
                    <w:tr2bl w:val="nil"/>
                  </w:tcBorders>
                  <w:noWrap w:val="0"/>
                  <w:vAlign w:val="center"/>
                </w:tcPr>
                <w:p w14:paraId="1D96BDE5">
                  <w:pPr>
                    <w:ind w:firstLine="0" w:firstLineChars="0"/>
                    <w:jc w:val="center"/>
                  </w:pPr>
                </w:p>
              </w:tc>
              <w:tc>
                <w:tcPr>
                  <w:tcW w:w="1209" w:type="dxa"/>
                  <w:tcBorders>
                    <w:tl2br w:val="nil"/>
                    <w:tr2bl w:val="nil"/>
                  </w:tcBorders>
                  <w:noWrap w:val="0"/>
                  <w:vAlign w:val="center"/>
                </w:tcPr>
                <w:p w14:paraId="2FB4864D">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r>
                    <w:rPr>
                      <w:rFonts w:hint="default" w:ascii="Times New Roman" w:hAnsi="Times New Roman" w:cs="Times New Roman"/>
                      <w:lang w:val="en-US" w:eastAsia="zh-CN"/>
                    </w:rPr>
                    <w:t>包装粉尘</w:t>
                  </w:r>
                </w:p>
              </w:tc>
              <w:tc>
                <w:tcPr>
                  <w:tcW w:w="2205" w:type="dxa"/>
                  <w:vMerge w:val="continue"/>
                  <w:tcBorders>
                    <w:tl2br w:val="nil"/>
                    <w:tr2bl w:val="nil"/>
                  </w:tcBorders>
                  <w:noWrap w:val="0"/>
                  <w:vAlign w:val="center"/>
                </w:tcPr>
                <w:p w14:paraId="27CCC3B6">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p>
              </w:tc>
              <w:tc>
                <w:tcPr>
                  <w:tcW w:w="2250" w:type="dxa"/>
                  <w:vMerge w:val="continue"/>
                  <w:tcBorders>
                    <w:tl2br w:val="nil"/>
                    <w:tr2bl w:val="nil"/>
                  </w:tcBorders>
                  <w:shd w:val="clear" w:color="auto" w:fill="auto"/>
                  <w:noWrap w:val="0"/>
                  <w:vAlign w:val="center"/>
                </w:tcPr>
                <w:p w14:paraId="6F91AC36">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p>
              </w:tc>
              <w:tc>
                <w:tcPr>
                  <w:tcW w:w="2175" w:type="dxa"/>
                  <w:vMerge w:val="continue"/>
                  <w:tcBorders>
                    <w:tl2br w:val="nil"/>
                    <w:tr2bl w:val="nil"/>
                  </w:tcBorders>
                  <w:noWrap w:val="0"/>
                  <w:vAlign w:val="center"/>
                </w:tcPr>
                <w:p w14:paraId="5350E174">
                  <w:pPr>
                    <w:ind w:firstLine="0" w:firstLineChars="0"/>
                    <w:jc w:val="center"/>
                    <w:rPr>
                      <w:rFonts w:hint="default" w:ascii="Times New Roman" w:hAnsi="Times New Roman" w:cs="Times New Roman" w:eastAsiaTheme="minorEastAsia"/>
                      <w:color w:val="auto"/>
                      <w:kern w:val="2"/>
                      <w:position w:val="0"/>
                      <w:sz w:val="21"/>
                      <w:szCs w:val="21"/>
                      <w:lang w:val="en-US" w:eastAsia="zh-CN" w:bidi="ar-SA"/>
                    </w:rPr>
                  </w:pPr>
                </w:p>
              </w:tc>
            </w:tr>
            <w:tr w14:paraId="36A123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648" w:type="dxa"/>
                  <w:gridSpan w:val="2"/>
                  <w:tcBorders>
                    <w:tl2br w:val="nil"/>
                    <w:tr2bl w:val="nil"/>
                  </w:tcBorders>
                  <w:noWrap w:val="0"/>
                  <w:vAlign w:val="center"/>
                </w:tcPr>
                <w:p w14:paraId="7F23CB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噪声</w:t>
                  </w:r>
                </w:p>
              </w:tc>
              <w:tc>
                <w:tcPr>
                  <w:tcW w:w="2205" w:type="dxa"/>
                  <w:tcBorders>
                    <w:tl2br w:val="nil"/>
                    <w:tr2bl w:val="nil"/>
                  </w:tcBorders>
                  <w:noWrap w:val="0"/>
                  <w:vAlign w:val="center"/>
                </w:tcPr>
                <w:p w14:paraId="1DF5F7F7">
                  <w:pPr>
                    <w:spacing w:line="240" w:lineRule="auto"/>
                    <w:jc w:val="center"/>
                    <w:rPr>
                      <w:rFonts w:hint="default"/>
                      <w:color w:val="auto"/>
                      <w:lang w:val="en-US" w:eastAsia="zh-CN"/>
                    </w:rPr>
                  </w:pPr>
                  <w:r>
                    <w:rPr>
                      <w:rFonts w:hint="default"/>
                      <w:color w:val="auto"/>
                      <w:lang w:val="en-US" w:eastAsia="zh-CN"/>
                    </w:rPr>
                    <w:t>选用低噪设备，采取隔声、减振等措施</w:t>
                  </w:r>
                </w:p>
              </w:tc>
              <w:tc>
                <w:tcPr>
                  <w:tcW w:w="2250" w:type="dxa"/>
                  <w:tcBorders>
                    <w:tl2br w:val="nil"/>
                    <w:tr2bl w:val="nil"/>
                  </w:tcBorders>
                  <w:noWrap w:val="0"/>
                  <w:vAlign w:val="center"/>
                </w:tcPr>
                <w:p w14:paraId="097C8AC2">
                  <w:pPr>
                    <w:spacing w:line="240" w:lineRule="auto"/>
                    <w:jc w:val="center"/>
                    <w:rPr>
                      <w:rFonts w:hint="default" w:ascii="Calibri" w:hAnsi="Calibri" w:eastAsia="宋体" w:cs="Times New Roman"/>
                      <w:color w:val="auto"/>
                      <w:kern w:val="2"/>
                      <w:sz w:val="21"/>
                      <w:szCs w:val="24"/>
                      <w:lang w:val="en-US" w:eastAsia="zh-CN" w:bidi="ar-SA"/>
                    </w:rPr>
                  </w:pPr>
                  <w:r>
                    <w:rPr>
                      <w:rFonts w:hint="default"/>
                      <w:color w:val="auto"/>
                      <w:lang w:val="en-US" w:eastAsia="zh-CN"/>
                    </w:rPr>
                    <w:t>选用低噪设备，采取隔声、减振等措施</w:t>
                  </w:r>
                </w:p>
              </w:tc>
              <w:tc>
                <w:tcPr>
                  <w:tcW w:w="2175" w:type="dxa"/>
                  <w:tcBorders>
                    <w:tl2br w:val="nil"/>
                    <w:tr2bl w:val="nil"/>
                  </w:tcBorders>
                  <w:noWrap w:val="0"/>
                  <w:vAlign w:val="center"/>
                </w:tcPr>
                <w:p w14:paraId="043E32E4">
                  <w:pPr>
                    <w:spacing w:line="240" w:lineRule="auto"/>
                    <w:jc w:val="center"/>
                    <w:rPr>
                      <w:rFonts w:hint="default" w:ascii="Calibri" w:hAnsi="Calibri" w:eastAsia="宋体" w:cs="Times New Roman"/>
                      <w:color w:val="auto"/>
                      <w:kern w:val="2"/>
                      <w:sz w:val="21"/>
                      <w:szCs w:val="24"/>
                      <w:lang w:val="en-US" w:eastAsia="zh-CN" w:bidi="ar-SA"/>
                    </w:rPr>
                  </w:pPr>
                  <w:r>
                    <w:rPr>
                      <w:rFonts w:hint="default"/>
                      <w:color w:val="auto"/>
                      <w:lang w:val="en-US" w:eastAsia="zh-CN"/>
                    </w:rPr>
                    <w:t>选用低噪设备，采取隔声、减振等措施</w:t>
                  </w:r>
                </w:p>
              </w:tc>
            </w:tr>
            <w:tr w14:paraId="44D80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439" w:type="dxa"/>
                  <w:vMerge w:val="restart"/>
                  <w:tcBorders>
                    <w:tl2br w:val="nil"/>
                    <w:tr2bl w:val="nil"/>
                  </w:tcBorders>
                  <w:noWrap w:val="0"/>
                  <w:vAlign w:val="center"/>
                </w:tcPr>
                <w:p w14:paraId="7247E86D">
                  <w:pPr>
                    <w:pStyle w:val="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cs="Times New Roman" w:eastAsiaTheme="minorEastAsia"/>
                      <w:color w:val="auto"/>
                      <w:kern w:val="2"/>
                      <w:sz w:val="21"/>
                      <w:szCs w:val="21"/>
                      <w:lang w:val="en-US" w:eastAsia="zh-CN" w:bidi="ar-SA"/>
                    </w:rPr>
                    <w:t>固体废物</w:t>
                  </w:r>
                </w:p>
              </w:tc>
              <w:tc>
                <w:tcPr>
                  <w:tcW w:w="1209" w:type="dxa"/>
                  <w:tcBorders>
                    <w:tl2br w:val="nil"/>
                    <w:tr2bl w:val="nil"/>
                  </w:tcBorders>
                  <w:noWrap w:val="0"/>
                  <w:vAlign w:val="center"/>
                </w:tcPr>
                <w:p w14:paraId="22AB13D9">
                  <w:pPr>
                    <w:keepNext w:val="0"/>
                    <w:keepLines w:val="0"/>
                    <w:pageBreakBefore w:val="0"/>
                    <w:widowControl w:val="0"/>
                    <w:tabs>
                      <w:tab w:val="left" w:pos="3052"/>
                    </w:tabs>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废包装材料</w:t>
                  </w:r>
                </w:p>
              </w:tc>
              <w:tc>
                <w:tcPr>
                  <w:tcW w:w="2205" w:type="dxa"/>
                  <w:tcBorders>
                    <w:tl2br w:val="nil"/>
                    <w:tr2bl w:val="nil"/>
                  </w:tcBorders>
                  <w:noWrap w:val="0"/>
                  <w:vAlign w:val="center"/>
                </w:tcPr>
                <w:p w14:paraId="30E0210B">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收集后交原料厂家回收利用</w:t>
                  </w:r>
                </w:p>
              </w:tc>
              <w:tc>
                <w:tcPr>
                  <w:tcW w:w="2250" w:type="dxa"/>
                  <w:vMerge w:val="restart"/>
                  <w:tcBorders>
                    <w:tl2br w:val="nil"/>
                    <w:tr2bl w:val="nil"/>
                  </w:tcBorders>
                  <w:shd w:val="clear" w:color="auto" w:fill="auto"/>
                  <w:noWrap w:val="0"/>
                  <w:vAlign w:val="center"/>
                </w:tcPr>
                <w:p w14:paraId="17D46893">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aps w:val="0"/>
                      <w:smallCaps w:val="0"/>
                      <w:color w:val="000000"/>
                      <w:kern w:val="2"/>
                      <w:sz w:val="21"/>
                      <w:szCs w:val="21"/>
                      <w:highlight w:val="none"/>
                      <w:lang w:val="en-US" w:eastAsia="zh-CN" w:bidi="ar-SA"/>
                    </w:rPr>
                    <w:t>项目产生的工业固废应当合法利用或处置</w:t>
                  </w:r>
                </w:p>
              </w:tc>
              <w:tc>
                <w:tcPr>
                  <w:tcW w:w="2175" w:type="dxa"/>
                  <w:tcBorders>
                    <w:tl2br w:val="nil"/>
                    <w:tr2bl w:val="nil"/>
                  </w:tcBorders>
                  <w:shd w:val="clear" w:color="auto" w:fill="auto"/>
                  <w:noWrap w:val="0"/>
                  <w:vAlign w:val="center"/>
                </w:tcPr>
                <w:p w14:paraId="6C62CA43">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收集后交原料厂家回收利用</w:t>
                  </w:r>
                </w:p>
              </w:tc>
            </w:tr>
            <w:tr w14:paraId="2C7CCE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39" w:type="dxa"/>
                  <w:vMerge w:val="continue"/>
                  <w:tcBorders>
                    <w:tl2br w:val="nil"/>
                    <w:tr2bl w:val="nil"/>
                  </w:tcBorders>
                  <w:noWrap w:val="0"/>
                  <w:vAlign w:val="center"/>
                </w:tcPr>
                <w:p w14:paraId="0D237A57">
                  <w:pPr>
                    <w:widowControl/>
                    <w:spacing w:line="240" w:lineRule="auto"/>
                    <w:ind w:firstLine="0" w:firstLineChars="0"/>
                    <w:jc w:val="center"/>
                    <w:rPr>
                      <w:rFonts w:hint="default" w:ascii="Times New Roman" w:hAnsi="Times New Roman" w:cs="Times New Roman" w:eastAsiaTheme="minorEastAsia"/>
                      <w:color w:val="auto"/>
                      <w:kern w:val="2"/>
                      <w:sz w:val="21"/>
                      <w:szCs w:val="21"/>
                      <w:lang w:val="en-US" w:eastAsia="zh-CN" w:bidi="ar-SA"/>
                    </w:rPr>
                  </w:pPr>
                </w:p>
              </w:tc>
              <w:tc>
                <w:tcPr>
                  <w:tcW w:w="1209" w:type="dxa"/>
                  <w:tcBorders>
                    <w:tl2br w:val="nil"/>
                    <w:tr2bl w:val="nil"/>
                  </w:tcBorders>
                  <w:noWrap w:val="0"/>
                  <w:vAlign w:val="center"/>
                </w:tcPr>
                <w:p w14:paraId="416A5AB4">
                  <w:pPr>
                    <w:keepNext w:val="0"/>
                    <w:keepLines w:val="0"/>
                    <w:pageBreakBefore w:val="0"/>
                    <w:widowControl w:val="0"/>
                    <w:tabs>
                      <w:tab w:val="left" w:pos="3052"/>
                    </w:tabs>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kern w:val="2"/>
                      <w:sz w:val="21"/>
                      <w:szCs w:val="21"/>
                      <w:highlight w:val="none"/>
                      <w:lang w:val="en-US" w:eastAsia="zh-CN" w:bidi="ar-SA"/>
                    </w:rPr>
                    <w:t>除尘器收集尘</w:t>
                  </w:r>
                </w:p>
              </w:tc>
              <w:tc>
                <w:tcPr>
                  <w:tcW w:w="2205" w:type="dxa"/>
                  <w:tcBorders>
                    <w:tl2br w:val="nil"/>
                    <w:tr2bl w:val="nil"/>
                  </w:tcBorders>
                  <w:noWrap w:val="0"/>
                  <w:vAlign w:val="center"/>
                </w:tcPr>
                <w:p w14:paraId="0C149091">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回用于生产</w:t>
                  </w:r>
                </w:p>
              </w:tc>
              <w:tc>
                <w:tcPr>
                  <w:tcW w:w="2250" w:type="dxa"/>
                  <w:vMerge w:val="continue"/>
                  <w:tcBorders>
                    <w:tl2br w:val="nil"/>
                    <w:tr2bl w:val="nil"/>
                  </w:tcBorders>
                  <w:shd w:val="clear" w:color="auto" w:fill="auto"/>
                  <w:noWrap w:val="0"/>
                  <w:vAlign w:val="center"/>
                </w:tcPr>
                <w:p w14:paraId="353C588D">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2175" w:type="dxa"/>
                  <w:tcBorders>
                    <w:tl2br w:val="nil"/>
                    <w:tr2bl w:val="nil"/>
                  </w:tcBorders>
                  <w:shd w:val="clear" w:color="auto" w:fill="auto"/>
                  <w:noWrap w:val="0"/>
                  <w:vAlign w:val="center"/>
                </w:tcPr>
                <w:p w14:paraId="21B88276">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回用于生产</w:t>
                  </w:r>
                </w:p>
              </w:tc>
            </w:tr>
            <w:tr w14:paraId="55ECDF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39" w:type="dxa"/>
                  <w:vMerge w:val="continue"/>
                  <w:tcBorders>
                    <w:tl2br w:val="nil"/>
                    <w:tr2bl w:val="nil"/>
                  </w:tcBorders>
                  <w:noWrap w:val="0"/>
                  <w:vAlign w:val="center"/>
                </w:tcPr>
                <w:p w14:paraId="024B2D4F">
                  <w:pPr>
                    <w:keepNext w:val="0"/>
                    <w:keepLines w:val="0"/>
                    <w:pageBreakBefore w:val="0"/>
                    <w:widowControl w:val="0"/>
                    <w:tabs>
                      <w:tab w:val="left" w:pos="3052"/>
                    </w:tabs>
                    <w:kinsoku/>
                    <w:wordWrap/>
                    <w:overflowPunct/>
                    <w:topLinePunct w:val="0"/>
                    <w:autoSpaceDE/>
                    <w:autoSpaceDN/>
                    <w:bidi w:val="0"/>
                    <w:adjustRightInd w:val="0"/>
                    <w:snapToGrid w:val="0"/>
                    <w:spacing w:line="340" w:lineRule="exact"/>
                    <w:ind w:right="0" w:rightChars="0" w:firstLine="0" w:firstLineChars="0"/>
                    <w:jc w:val="center"/>
                    <w:textAlignment w:val="auto"/>
                  </w:pPr>
                </w:p>
              </w:tc>
              <w:tc>
                <w:tcPr>
                  <w:tcW w:w="1209" w:type="dxa"/>
                  <w:tcBorders>
                    <w:tl2br w:val="nil"/>
                    <w:tr2bl w:val="nil"/>
                  </w:tcBorders>
                  <w:noWrap w:val="0"/>
                  <w:vAlign w:val="center"/>
                </w:tcPr>
                <w:p w14:paraId="69103C3E">
                  <w:pPr>
                    <w:keepNext w:val="0"/>
                    <w:keepLines w:val="0"/>
                    <w:pageBreakBefore w:val="0"/>
                    <w:widowControl w:val="0"/>
                    <w:tabs>
                      <w:tab w:val="left" w:pos="3052"/>
                    </w:tabs>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地面清扫收集尘</w:t>
                  </w:r>
                </w:p>
              </w:tc>
              <w:tc>
                <w:tcPr>
                  <w:tcW w:w="2205" w:type="dxa"/>
                  <w:tcBorders>
                    <w:tl2br w:val="nil"/>
                    <w:tr2bl w:val="nil"/>
                  </w:tcBorders>
                  <w:noWrap w:val="0"/>
                  <w:vAlign w:val="center"/>
                </w:tcPr>
                <w:p w14:paraId="7FA21C4A">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回用于生产</w:t>
                  </w:r>
                </w:p>
              </w:tc>
              <w:tc>
                <w:tcPr>
                  <w:tcW w:w="2250" w:type="dxa"/>
                  <w:vMerge w:val="continue"/>
                  <w:tcBorders>
                    <w:tl2br w:val="nil"/>
                    <w:tr2bl w:val="nil"/>
                  </w:tcBorders>
                  <w:shd w:val="clear" w:color="auto" w:fill="auto"/>
                  <w:noWrap w:val="0"/>
                  <w:vAlign w:val="center"/>
                </w:tcPr>
                <w:p w14:paraId="50E873B1">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aps w:val="0"/>
                      <w:smallCaps w:val="0"/>
                      <w:color w:val="000000"/>
                      <w:kern w:val="2"/>
                      <w:sz w:val="21"/>
                      <w:szCs w:val="21"/>
                      <w:highlight w:val="none"/>
                      <w:lang w:val="en-US" w:eastAsia="zh-CN" w:bidi="ar-SA"/>
                    </w:rPr>
                  </w:pPr>
                </w:p>
              </w:tc>
              <w:tc>
                <w:tcPr>
                  <w:tcW w:w="2175" w:type="dxa"/>
                  <w:tcBorders>
                    <w:tl2br w:val="nil"/>
                    <w:tr2bl w:val="nil"/>
                  </w:tcBorders>
                  <w:shd w:val="clear" w:color="auto" w:fill="auto"/>
                  <w:noWrap w:val="0"/>
                  <w:vAlign w:val="center"/>
                </w:tcPr>
                <w:p w14:paraId="37B5289C">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rPr>
                      <w:rFonts w:hint="default"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回用于生产</w:t>
                  </w:r>
                </w:p>
              </w:tc>
            </w:tr>
            <w:tr w14:paraId="673A9E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39" w:type="dxa"/>
                  <w:vMerge w:val="continue"/>
                  <w:tcBorders>
                    <w:tl2br w:val="nil"/>
                    <w:tr2bl w:val="nil"/>
                  </w:tcBorders>
                  <w:noWrap w:val="0"/>
                  <w:vAlign w:val="center"/>
                </w:tcPr>
                <w:p w14:paraId="1007548C">
                  <w:pPr>
                    <w:widowControl/>
                    <w:spacing w:line="240" w:lineRule="auto"/>
                    <w:ind w:firstLine="0" w:firstLineChars="0"/>
                    <w:jc w:val="center"/>
                    <w:rPr>
                      <w:rFonts w:hint="default" w:ascii="Times New Roman" w:hAnsi="Times New Roman" w:cs="Times New Roman" w:eastAsiaTheme="minorEastAsia"/>
                      <w:color w:val="auto"/>
                      <w:kern w:val="2"/>
                      <w:sz w:val="21"/>
                      <w:szCs w:val="21"/>
                      <w:lang w:val="en-US" w:eastAsia="zh-CN" w:bidi="ar-SA"/>
                    </w:rPr>
                  </w:pPr>
                </w:p>
              </w:tc>
              <w:tc>
                <w:tcPr>
                  <w:tcW w:w="1209" w:type="dxa"/>
                  <w:tcBorders>
                    <w:tl2br w:val="nil"/>
                    <w:tr2bl w:val="nil"/>
                  </w:tcBorders>
                  <w:noWrap w:val="0"/>
                  <w:vAlign w:val="center"/>
                </w:tcPr>
                <w:p w14:paraId="7D331118">
                  <w:pPr>
                    <w:keepNext w:val="0"/>
                    <w:keepLines w:val="0"/>
                    <w:pageBreakBefore w:val="0"/>
                    <w:widowControl w:val="0"/>
                    <w:tabs>
                      <w:tab w:val="left" w:pos="3052"/>
                    </w:tabs>
                    <w:kinsoku/>
                    <w:wordWrap/>
                    <w:overflowPunct/>
                    <w:topLinePunct w:val="0"/>
                    <w:autoSpaceDE/>
                    <w:autoSpaceDN/>
                    <w:bidi w:val="0"/>
                    <w:adjustRightInd w:val="0"/>
                    <w:snapToGrid w:val="0"/>
                    <w:spacing w:line="340" w:lineRule="exact"/>
                    <w:ind w:right="0" w:rightChars="0" w:firstLine="0" w:firstLineChars="0"/>
                    <w:jc w:val="center"/>
                    <w:textAlignment w:val="auto"/>
                    <w:rPr>
                      <w:rFonts w:hint="eastAsia"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沉淀池污泥</w:t>
                  </w:r>
                </w:p>
              </w:tc>
              <w:tc>
                <w:tcPr>
                  <w:tcW w:w="2205" w:type="dxa"/>
                  <w:vMerge w:val="restart"/>
                  <w:tcBorders>
                    <w:tl2br w:val="nil"/>
                    <w:tr2bl w:val="nil"/>
                  </w:tcBorders>
                  <w:noWrap w:val="0"/>
                  <w:vAlign w:val="center"/>
                </w:tcPr>
                <w:p w14:paraId="67716576">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收集后由环卫部门统一清运处理</w:t>
                  </w:r>
                </w:p>
              </w:tc>
              <w:tc>
                <w:tcPr>
                  <w:tcW w:w="2250" w:type="dxa"/>
                  <w:vMerge w:val="continue"/>
                  <w:tcBorders>
                    <w:tl2br w:val="nil"/>
                    <w:tr2bl w:val="nil"/>
                  </w:tcBorders>
                  <w:shd w:val="clear" w:color="auto" w:fill="auto"/>
                  <w:noWrap w:val="0"/>
                  <w:vAlign w:val="center"/>
                </w:tcPr>
                <w:p w14:paraId="1D343493">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2175" w:type="dxa"/>
                  <w:vMerge w:val="restart"/>
                  <w:tcBorders>
                    <w:tl2br w:val="nil"/>
                    <w:tr2bl w:val="nil"/>
                  </w:tcBorders>
                  <w:shd w:val="clear" w:color="auto" w:fill="auto"/>
                  <w:noWrap w:val="0"/>
                  <w:vAlign w:val="center"/>
                </w:tcPr>
                <w:p w14:paraId="2580BE6D">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收集后由环卫部门统一清运处理</w:t>
                  </w:r>
                </w:p>
              </w:tc>
            </w:tr>
            <w:tr w14:paraId="44E9B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39" w:type="dxa"/>
                  <w:vMerge w:val="continue"/>
                  <w:tcBorders>
                    <w:tl2br w:val="nil"/>
                    <w:tr2bl w:val="nil"/>
                  </w:tcBorders>
                  <w:noWrap w:val="0"/>
                  <w:vAlign w:val="center"/>
                </w:tcPr>
                <w:p w14:paraId="75810DB5">
                  <w:pPr>
                    <w:widowControl/>
                    <w:spacing w:line="240" w:lineRule="auto"/>
                    <w:ind w:firstLine="0" w:firstLineChars="0"/>
                    <w:jc w:val="center"/>
                    <w:rPr>
                      <w:rFonts w:hint="default" w:ascii="Times New Roman" w:hAnsi="Times New Roman" w:cs="Times New Roman" w:eastAsiaTheme="minorEastAsia"/>
                      <w:color w:val="auto"/>
                      <w:kern w:val="2"/>
                      <w:sz w:val="21"/>
                      <w:szCs w:val="21"/>
                      <w:lang w:val="en-US" w:eastAsia="zh-CN" w:bidi="ar-SA"/>
                    </w:rPr>
                  </w:pPr>
                </w:p>
              </w:tc>
              <w:tc>
                <w:tcPr>
                  <w:tcW w:w="1209" w:type="dxa"/>
                  <w:tcBorders>
                    <w:tl2br w:val="nil"/>
                    <w:tr2bl w:val="nil"/>
                  </w:tcBorders>
                  <w:noWrap w:val="0"/>
                  <w:vAlign w:val="center"/>
                </w:tcPr>
                <w:p w14:paraId="438E176C">
                  <w:pPr>
                    <w:keepNext w:val="0"/>
                    <w:keepLines w:val="0"/>
                    <w:pageBreakBefore w:val="0"/>
                    <w:widowControl w:val="0"/>
                    <w:tabs>
                      <w:tab w:val="left" w:pos="3052"/>
                    </w:tabs>
                    <w:kinsoku/>
                    <w:wordWrap/>
                    <w:overflowPunct/>
                    <w:topLinePunct w:val="0"/>
                    <w:autoSpaceDE/>
                    <w:autoSpaceDN/>
                    <w:bidi w:val="0"/>
                    <w:adjustRightInd w:val="0"/>
                    <w:snapToGrid w:val="0"/>
                    <w:spacing w:line="340" w:lineRule="exact"/>
                    <w:ind w:right="0" w:rightChars="0" w:firstLine="0" w:firstLineChars="0"/>
                    <w:jc w:val="center"/>
                    <w:textAlignment w:val="auto"/>
                    <w:rPr>
                      <w:rFonts w:hint="eastAsia" w:ascii="Times New Roman" w:hAnsi="Times New Roman" w:eastAsia="宋体" w:cs="Times New Roman"/>
                      <w:caps w:val="0"/>
                      <w:smallCaps w:val="0"/>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生活垃圾</w:t>
                  </w:r>
                </w:p>
              </w:tc>
              <w:tc>
                <w:tcPr>
                  <w:tcW w:w="2205" w:type="dxa"/>
                  <w:vMerge w:val="continue"/>
                  <w:tcBorders>
                    <w:tl2br w:val="nil"/>
                    <w:tr2bl w:val="nil"/>
                  </w:tcBorders>
                  <w:noWrap w:val="0"/>
                  <w:vAlign w:val="center"/>
                </w:tcPr>
                <w:p w14:paraId="73868E00">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2250" w:type="dxa"/>
                  <w:vMerge w:val="continue"/>
                  <w:tcBorders>
                    <w:tl2br w:val="nil"/>
                    <w:tr2bl w:val="nil"/>
                  </w:tcBorders>
                  <w:shd w:val="clear" w:color="auto" w:fill="auto"/>
                  <w:noWrap w:val="0"/>
                  <w:vAlign w:val="center"/>
                </w:tcPr>
                <w:p w14:paraId="29922EEA">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2175" w:type="dxa"/>
                  <w:vMerge w:val="continue"/>
                  <w:tcBorders>
                    <w:tl2br w:val="nil"/>
                    <w:tr2bl w:val="nil"/>
                  </w:tcBorders>
                  <w:shd w:val="clear" w:color="auto" w:fill="auto"/>
                  <w:noWrap w:val="0"/>
                  <w:vAlign w:val="center"/>
                </w:tcPr>
                <w:p w14:paraId="5DFD581B">
                  <w:pPr>
                    <w:widowControl/>
                    <w:spacing w:line="240" w:lineRule="auto"/>
                    <w:ind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r>
          </w:tbl>
          <w:p w14:paraId="69EF39EF">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p>
          <w:p w14:paraId="3100BFD1">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lang w:val="en-US" w:eastAsia="zh-CN"/>
              </w:rPr>
            </w:pPr>
          </w:p>
          <w:p w14:paraId="632AE9E1">
            <w:pPr>
              <w:pStyle w:val="13"/>
              <w:rPr>
                <w:rFonts w:hint="default" w:ascii="Times New Roman" w:hAnsi="Times New Roman" w:cs="Times New Roman"/>
                <w:sz w:val="24"/>
                <w:szCs w:val="24"/>
                <w:lang w:val="en-US" w:eastAsia="zh-CN"/>
              </w:rPr>
            </w:pPr>
          </w:p>
          <w:p w14:paraId="2D0D1F76">
            <w:pPr>
              <w:pStyle w:val="6"/>
              <w:rPr>
                <w:rFonts w:hint="default" w:ascii="Times New Roman" w:hAnsi="Times New Roman" w:cs="Times New Roman"/>
                <w:sz w:val="24"/>
                <w:szCs w:val="24"/>
                <w:lang w:val="en-US" w:eastAsia="zh-CN"/>
              </w:rPr>
            </w:pPr>
          </w:p>
          <w:p w14:paraId="25435D7C">
            <w:pPr>
              <w:rPr>
                <w:rFonts w:hint="default" w:ascii="Times New Roman" w:hAnsi="Times New Roman" w:cs="Times New Roman"/>
                <w:sz w:val="24"/>
                <w:szCs w:val="24"/>
                <w:lang w:val="en-US" w:eastAsia="zh-CN"/>
              </w:rPr>
            </w:pPr>
          </w:p>
          <w:p w14:paraId="6C5064D8">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sz w:val="24"/>
                <w:szCs w:val="24"/>
                <w:lang w:val="en-US" w:eastAsia="zh-CN"/>
              </w:rPr>
            </w:pPr>
          </w:p>
          <w:p w14:paraId="1562C7E9">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“三同时”执行情况</w:t>
            </w:r>
          </w:p>
          <w:p w14:paraId="72E58067">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本项目已按照国家有关建设项目环境管理法规要求，进行了环境影响评价，工程相应的环保设施与主体工程同时设计、同时施工、同时投入使用，基本符合“三同时”的要求。</w:t>
            </w:r>
          </w:p>
          <w:p w14:paraId="7A711D4B">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环保管理制度及人员责任分工</w:t>
            </w:r>
          </w:p>
          <w:p w14:paraId="4E85EDC9">
            <w:pPr>
              <w:pStyle w:val="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rPr>
            </w:pPr>
            <w:r>
              <w:rPr>
                <w:rFonts w:hint="eastAsia"/>
                <w:sz w:val="24"/>
                <w:szCs w:val="24"/>
              </w:rPr>
              <w:t>公司</w:t>
            </w:r>
            <w:r>
              <w:rPr>
                <w:rFonts w:hint="eastAsia"/>
                <w:color w:val="auto"/>
                <w:sz w:val="24"/>
                <w:szCs w:val="24"/>
              </w:rPr>
              <w:t>有人员负责环保工作</w:t>
            </w:r>
            <w:r>
              <w:rPr>
                <w:rFonts w:hint="eastAsia"/>
                <w:color w:val="auto"/>
                <w:sz w:val="24"/>
                <w:szCs w:val="24"/>
                <w:lang w:eastAsia="zh-CN"/>
              </w:rPr>
              <w:t>，</w:t>
            </w:r>
            <w:r>
              <w:rPr>
                <w:rFonts w:hint="eastAsia"/>
                <w:color w:val="auto"/>
                <w:sz w:val="24"/>
                <w:szCs w:val="24"/>
              </w:rPr>
              <w:t>制定</w:t>
            </w:r>
            <w:r>
              <w:rPr>
                <w:rFonts w:hint="eastAsia"/>
                <w:color w:val="auto"/>
                <w:sz w:val="24"/>
                <w:szCs w:val="24"/>
                <w:lang w:eastAsia="zh-CN"/>
              </w:rPr>
              <w:t>了</w:t>
            </w:r>
            <w:r>
              <w:rPr>
                <w:rFonts w:hint="eastAsia"/>
                <w:color w:val="auto"/>
                <w:sz w:val="24"/>
                <w:szCs w:val="24"/>
              </w:rPr>
              <w:t>岗位责任制度、操作规程等环境保护规章制度，并已开展环保设施岗前操作培训。</w:t>
            </w:r>
          </w:p>
          <w:p w14:paraId="7D7CDF3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排污许可情况</w:t>
            </w:r>
          </w:p>
          <w:p w14:paraId="6EDF17BA">
            <w:pPr>
              <w:widowControl w:val="0"/>
              <w:snapToGrid w:val="0"/>
              <w:spacing w:after="120" w:line="360" w:lineRule="auto"/>
              <w:ind w:left="0" w:leftChars="0"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项目于202</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月</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10</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日</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进行了排污登记</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，有效期至20</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31</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月</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9</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日，</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登记</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编号</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91360983MADNNUJ93Q001X</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，见附件</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66DD935A">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p>
          <w:p w14:paraId="771DE085">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374F3767">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10EB6E80">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457A2D18">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17864147">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57A55ACD">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162D705C">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63872385">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22559FCD">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7D9BD1B0">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3A63D279">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327E69B4">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7F55043B">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51D948B1">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10008468">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4895FAE6">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4F055253">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2E94DDBE">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08CC4F57">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438A1BC7">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4657B94A">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4EDFDAAE">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22A1435C">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18A46A8F">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1CE22427">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716CD9D6">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6F166136">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718A27D8">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4471F4CD">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22D5E0D9">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color w:val="auto"/>
                <w:sz w:val="21"/>
                <w:szCs w:val="21"/>
                <w:lang w:eastAsia="zh-CN"/>
              </w:rPr>
            </w:pPr>
          </w:p>
          <w:p w14:paraId="5F4E16E5">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lang w:eastAsia="zh-CN"/>
              </w:rPr>
            </w:pPr>
          </w:p>
        </w:tc>
      </w:tr>
    </w:tbl>
    <w:p w14:paraId="5804E0DB">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val="0"/>
          <w:bCs w:val="0"/>
          <w:sz w:val="24"/>
          <w:szCs w:val="24"/>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58B475D9">
      <w:pPr>
        <w:pStyle w:val="2"/>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8"/>
          <w:szCs w:val="28"/>
          <w:lang w:val="en-US" w:eastAsia="zh-CN"/>
          <w14:textFill>
            <w14:solidFill>
              <w14:schemeClr w14:val="tx1"/>
            </w14:solidFill>
          </w14:textFill>
        </w:rPr>
      </w:pPr>
      <w:bookmarkStart w:id="71" w:name="_GoBack"/>
      <w:bookmarkEnd w:id="71"/>
      <w:bookmarkStart w:id="46" w:name="_Toc15839"/>
      <w:bookmarkStart w:id="47" w:name="_Toc14666"/>
      <w:bookmarkStart w:id="48" w:name="_Toc11650"/>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十 验收结论</w:t>
      </w:r>
      <w:bookmarkEnd w:id="45"/>
      <w:bookmarkEnd w:id="46"/>
      <w:bookmarkEnd w:id="47"/>
      <w:bookmarkEnd w:id="48"/>
    </w:p>
    <w:tbl>
      <w:tblPr>
        <w:tblStyle w:val="24"/>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6178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2" w:hRule="atLeast"/>
          <w:jc w:val="center"/>
        </w:trPr>
        <w:tc>
          <w:tcPr>
            <w:tcW w:w="8516" w:type="dxa"/>
            <w:noWrap w:val="0"/>
            <w:vAlign w:val="top"/>
          </w:tcPr>
          <w:p w14:paraId="24D040DF">
            <w:pPr>
              <w:keepNext w:val="0"/>
              <w:keepLines w:val="0"/>
              <w:pageBreakBefore w:val="0"/>
              <w:widowControl w:val="0"/>
              <w:tabs>
                <w:tab w:val="left" w:pos="5226"/>
              </w:tabs>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一、验收结论：</w:t>
            </w:r>
          </w:p>
          <w:p w14:paraId="5EB333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江西致远环保股份有限公司</w:t>
            </w:r>
            <w:r>
              <w:rPr>
                <w:rFonts w:hint="default" w:ascii="Times New Roman" w:hAnsi="Times New Roman" w:cs="Times New Roman"/>
                <w:sz w:val="24"/>
                <w:szCs w:val="24"/>
              </w:rPr>
              <w:t>于</w:t>
            </w:r>
            <w:r>
              <w:rPr>
                <w:rFonts w:hint="default" w:ascii="Times New Roman" w:hAnsi="Times New Roman" w:cs="Times New Roman"/>
                <w:color w:val="000000" w:themeColor="text1"/>
                <w:sz w:val="24"/>
                <w:szCs w:val="24"/>
                <w14:textFill>
                  <w14:solidFill>
                    <w14:schemeClr w14:val="tx1"/>
                  </w14:solidFill>
                </w14:textFill>
              </w:rPr>
              <w:t>20</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2日至3</w:t>
            </w:r>
            <w:r>
              <w:rPr>
                <w:rFonts w:hint="default" w:ascii="Times New Roman" w:hAnsi="Times New Roman" w:cs="Times New Roman"/>
                <w:color w:val="000000" w:themeColor="text1"/>
                <w:sz w:val="24"/>
                <w:szCs w:val="24"/>
                <w14:textFill>
                  <w14:solidFill>
                    <w14:schemeClr w14:val="tx1"/>
                  </w14:solidFill>
                </w14:textFill>
              </w:rPr>
              <w:t>日</w:t>
            </w:r>
            <w:r>
              <w:rPr>
                <w:rFonts w:hint="eastAsia" w:ascii="Times New Roman" w:hAnsi="Times New Roman" w:cs="Times New Roman"/>
                <w:color w:val="000000" w:themeColor="text1"/>
                <w:sz w:val="24"/>
                <w:szCs w:val="24"/>
                <w:lang w:val="en-US" w:eastAsia="zh-CN"/>
                <w14:textFill>
                  <w14:solidFill>
                    <w14:schemeClr w14:val="tx1"/>
                  </w14:solidFill>
                </w14:textFill>
              </w:rPr>
              <w:t>连续两天</w:t>
            </w:r>
            <w:r>
              <w:rPr>
                <w:rFonts w:hint="default" w:ascii="Times New Roman" w:hAnsi="Times New Roman" w:cs="Times New Roman"/>
                <w:sz w:val="24"/>
                <w:szCs w:val="24"/>
              </w:rPr>
              <w:t>对</w:t>
            </w:r>
            <w:r>
              <w:rPr>
                <w:rFonts w:hint="eastAsia" w:ascii="Times New Roman" w:hAnsi="Times New Roman" w:cs="Times New Roman"/>
                <w:sz w:val="24"/>
                <w:szCs w:val="24"/>
                <w:lang w:eastAsia="zh-CN"/>
              </w:rPr>
              <w:t>佛山康立泰数码科技有限公司江西分公司年产6万吨陶瓷原料生产建设项目</w:t>
            </w:r>
            <w:r>
              <w:rPr>
                <w:rFonts w:hint="default" w:ascii="Times New Roman" w:hAnsi="Times New Roman" w:cs="Times New Roman"/>
                <w:sz w:val="24"/>
                <w:szCs w:val="24"/>
              </w:rPr>
              <w:t>进行了现场检查和验收监测，根据现场检查和验收监测结果，得出结论如下：</w:t>
            </w:r>
          </w:p>
          <w:p w14:paraId="3CF611C4">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根据《中华人民共和国</w:t>
            </w:r>
            <w:r>
              <w:rPr>
                <w:rFonts w:hint="eastAsia" w:ascii="Times New Roman" w:hAnsi="Times New Roman" w:cs="Times New Roman"/>
                <w:sz w:val="24"/>
                <w:szCs w:val="24"/>
                <w:lang w:val="en-US" w:eastAsia="zh-CN"/>
              </w:rPr>
              <w:t>生态环境法典</w:t>
            </w:r>
            <w:r>
              <w:rPr>
                <w:rFonts w:hint="default" w:ascii="Times New Roman" w:hAnsi="Times New Roman" w:cs="Times New Roman"/>
                <w:sz w:val="24"/>
                <w:szCs w:val="24"/>
              </w:rPr>
              <w:t>》和《建设项目环境影响评价分类管理名录》等有关规定进行了环境影响评价，基本落实了环评要求。在建设中基本做到了“三同时”，项目建设完成后及时申请运营并获批准，并申请进行验收监测。</w:t>
            </w:r>
          </w:p>
          <w:p w14:paraId="3EF86B9E">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验收监测期间，项目</w:t>
            </w:r>
            <w:r>
              <w:rPr>
                <w:rFonts w:hint="eastAsia" w:ascii="Times New Roman" w:hAnsi="Times New Roman" w:cs="Times New Roman"/>
                <w:color w:val="auto"/>
                <w:sz w:val="24"/>
                <w:szCs w:val="24"/>
                <w:lang w:eastAsia="zh-CN"/>
              </w:rPr>
              <w:t>投料、混合粉尘排口（</w:t>
            </w:r>
            <w:r>
              <w:rPr>
                <w:rFonts w:hint="eastAsia" w:ascii="Times New Roman" w:hAnsi="Times New Roman" w:cs="Times New Roman"/>
                <w:color w:val="auto"/>
                <w:sz w:val="24"/>
                <w:szCs w:val="24"/>
                <w:lang w:val="en-US" w:eastAsia="zh-CN"/>
              </w:rPr>
              <w:t>DA001</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颗粒物检测结果</w:t>
            </w:r>
            <w:r>
              <w:rPr>
                <w:rFonts w:hint="default" w:ascii="Times New Roman" w:hAnsi="Times New Roman" w:cs="Times New Roman"/>
                <w:color w:val="auto"/>
                <w:sz w:val="24"/>
                <w:szCs w:val="24"/>
              </w:rPr>
              <w:t>满足</w:t>
            </w:r>
            <w:r>
              <w:rPr>
                <w:rFonts w:hint="eastAsia" w:ascii="Times New Roman" w:hAnsi="Times New Roman" w:cs="Times New Roman"/>
                <w:sz w:val="24"/>
                <w:szCs w:val="24"/>
                <w:lang w:val="en-US" w:eastAsia="zh-CN"/>
              </w:rPr>
              <w:t>《大气污染物综合排放标准》（GB 16297-1996）表2二级标准</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sz w:val="24"/>
                <w:szCs w:val="24"/>
              </w:rPr>
              <w:t>厂界</w:t>
            </w:r>
            <w:r>
              <w:rPr>
                <w:rFonts w:hint="eastAsia" w:ascii="Times New Roman" w:hAnsi="Times New Roman" w:cs="Times New Roman"/>
                <w:sz w:val="24"/>
                <w:lang w:val="en-US" w:eastAsia="zh-CN"/>
              </w:rPr>
              <w:t>无组织颗粒物</w:t>
            </w:r>
            <w:r>
              <w:rPr>
                <w:rFonts w:hint="eastAsia" w:ascii="Times New Roman" w:hAnsi="Times New Roman" w:cs="Times New Roman"/>
                <w:sz w:val="24"/>
                <w:szCs w:val="24"/>
                <w:lang w:val="en-US" w:eastAsia="zh-CN"/>
              </w:rPr>
              <w:t>检测结果</w:t>
            </w:r>
            <w:r>
              <w:rPr>
                <w:rFonts w:hint="default" w:ascii="Times New Roman" w:hAnsi="Times New Roman" w:cs="Times New Roman"/>
                <w:sz w:val="24"/>
                <w:szCs w:val="24"/>
              </w:rPr>
              <w:t>满足《大气污染物综合排放标准》（GB16297-1996）表2中无组织排放标准</w:t>
            </w:r>
            <w:r>
              <w:rPr>
                <w:rFonts w:hint="default" w:ascii="Times New Roman" w:hAnsi="Times New Roman" w:cs="Times New Roman"/>
                <w:color w:val="000000" w:themeColor="text1"/>
                <w:sz w:val="24"/>
                <w:szCs w:val="24"/>
                <w14:textFill>
                  <w14:solidFill>
                    <w14:schemeClr w14:val="tx1"/>
                  </w14:solidFill>
                </w14:textFill>
              </w:rPr>
              <w:t>。</w:t>
            </w:r>
          </w:p>
          <w:p w14:paraId="0194F475">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eastAsia" w:ascii="Times New Roman" w:hAnsi="Times New Roman" w:cs="Times New Roman"/>
                <w:color w:val="000000" w:themeColor="text1"/>
                <w:sz w:val="24"/>
                <w:szCs w:val="24"/>
                <w:u w:val="none"/>
                <w:lang w:val="en-US" w:eastAsia="zh-CN"/>
                <w14:textFill>
                  <w14:solidFill>
                    <w14:schemeClr w14:val="tx1"/>
                  </w14:solidFill>
                </w14:textFill>
              </w:rPr>
              <w:t>项目</w:t>
            </w:r>
            <w:r>
              <w:rPr>
                <w:rFonts w:hint="default" w:ascii="Times New Roman" w:hAnsi="Times New Roman" w:eastAsia="宋体" w:cs="Times New Roman"/>
                <w:sz w:val="24"/>
                <w:szCs w:val="24"/>
                <w:lang w:eastAsia="zh-CN"/>
              </w:rPr>
              <w:t>检测废水经沉淀处理后用于洒水降尘；生活污水经化粪池处理后定期清掏用于农田施肥</w:t>
            </w:r>
            <w:r>
              <w:rPr>
                <w:rFonts w:hint="default" w:ascii="Times New Roman" w:hAnsi="Times New Roman" w:cs="Times New Roman"/>
                <w:color w:val="000000" w:themeColor="text1"/>
                <w:sz w:val="24"/>
                <w:szCs w:val="24"/>
                <w:u w:val="none"/>
                <w:lang w:eastAsia="zh-CN"/>
                <w14:textFill>
                  <w14:solidFill>
                    <w14:schemeClr w14:val="tx1"/>
                  </w14:solidFill>
                </w14:textFill>
              </w:rPr>
              <w:t>。</w:t>
            </w:r>
          </w:p>
          <w:p w14:paraId="7021B0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u w:val="none"/>
                <w:lang w:eastAsia="zh-CN"/>
                <w14:textFill>
                  <w14:solidFill>
                    <w14:schemeClr w14:val="tx1"/>
                  </w14:solidFill>
                </w14:textFill>
              </w:rPr>
              <w:t>项目厂界</w:t>
            </w:r>
            <w:r>
              <w:rPr>
                <w:rFonts w:hint="eastAsia" w:ascii="Times New Roman" w:hAnsi="Times New Roman" w:cs="Times New Roman"/>
                <w:color w:val="000000" w:themeColor="text1"/>
                <w:sz w:val="24"/>
                <w:szCs w:val="24"/>
                <w:u w:val="none"/>
                <w:lang w:val="en-US" w:eastAsia="zh-CN"/>
                <w14:textFill>
                  <w14:solidFill>
                    <w14:schemeClr w14:val="tx1"/>
                  </w14:solidFill>
                </w14:textFill>
              </w:rPr>
              <w:t>昼间、夜间</w:t>
            </w:r>
            <w:r>
              <w:rPr>
                <w:rFonts w:hint="default" w:ascii="Times New Roman" w:hAnsi="Times New Roman" w:cs="Times New Roman"/>
                <w:color w:val="000000" w:themeColor="text1"/>
                <w:sz w:val="24"/>
                <w:szCs w:val="24"/>
                <w:u w:val="none"/>
                <w:lang w:eastAsia="zh-CN"/>
                <w14:textFill>
                  <w14:solidFill>
                    <w14:schemeClr w14:val="tx1"/>
                  </w14:solidFill>
                </w14:textFill>
              </w:rPr>
              <w:t>最大噪声值</w:t>
            </w:r>
            <w:r>
              <w:rPr>
                <w:rFonts w:hint="eastAsia" w:ascii="Times New Roman" w:hAnsi="Times New Roman" w:cs="Times New Roman"/>
                <w:color w:val="000000" w:themeColor="text1"/>
                <w:sz w:val="24"/>
                <w:szCs w:val="24"/>
                <w:u w:val="none"/>
                <w:lang w:val="en-US" w:eastAsia="zh-CN"/>
                <w14:textFill>
                  <w14:solidFill>
                    <w14:schemeClr w14:val="tx1"/>
                  </w14:solidFill>
                </w14:textFill>
              </w:rPr>
              <w:t>满足</w:t>
            </w:r>
            <w:r>
              <w:rPr>
                <w:rFonts w:hint="default" w:ascii="Times New Roman" w:hAnsi="Times New Roman" w:cs="Times New Roman"/>
                <w:color w:val="000000" w:themeColor="text1"/>
                <w:sz w:val="24"/>
                <w:szCs w:val="24"/>
                <w:u w:val="none"/>
                <w:lang w:eastAsia="zh-CN"/>
                <w14:textFill>
                  <w14:solidFill>
                    <w14:schemeClr w14:val="tx1"/>
                  </w14:solidFill>
                </w14:textFill>
              </w:rPr>
              <w:t>《工业企业厂界环境噪声排放标准》（GB12348-2008）中的</w:t>
            </w:r>
            <w:r>
              <w:rPr>
                <w:rFonts w:hint="eastAsia" w:ascii="Times New Roman" w:hAnsi="Times New Roman" w:cs="Times New Roman"/>
                <w:color w:val="000000" w:themeColor="text1"/>
                <w:sz w:val="24"/>
                <w:szCs w:val="24"/>
                <w:u w:val="none"/>
                <w:lang w:val="en-US" w:eastAsia="zh-CN"/>
                <w14:textFill>
                  <w14:solidFill>
                    <w14:schemeClr w14:val="tx1"/>
                  </w14:solidFill>
                </w14:textFill>
              </w:rPr>
              <w:t>2</w:t>
            </w:r>
            <w:r>
              <w:rPr>
                <w:rFonts w:hint="default" w:ascii="Times New Roman" w:hAnsi="Times New Roman" w:cs="Times New Roman"/>
                <w:color w:val="000000" w:themeColor="text1"/>
                <w:sz w:val="24"/>
                <w:szCs w:val="24"/>
                <w:u w:val="none"/>
                <w:lang w:eastAsia="zh-CN"/>
                <w14:textFill>
                  <w14:solidFill>
                    <w14:schemeClr w14:val="tx1"/>
                  </w14:solidFill>
                </w14:textFill>
              </w:rPr>
              <w:t>类标准</w:t>
            </w:r>
            <w:r>
              <w:rPr>
                <w:rFonts w:hint="eastAsia" w:ascii="Times New Roman" w:hAnsi="Times New Roman" w:cs="Times New Roman"/>
                <w:color w:val="000000" w:themeColor="text1"/>
                <w:sz w:val="24"/>
                <w:szCs w:val="24"/>
                <w:u w:val="none"/>
                <w:lang w:val="en-US" w:eastAsia="zh-CN"/>
                <w14:textFill>
                  <w14:solidFill>
                    <w14:schemeClr w14:val="tx1"/>
                  </w14:solidFill>
                </w14:textFill>
              </w:rPr>
              <w:t>要求</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2E80932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color w:val="000000" w:themeColor="text1"/>
                <w:sz w:val="24"/>
                <w:szCs w:val="24"/>
                <w:lang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eastAsia" w:ascii="Times New Roman" w:hAnsi="Times New Roman" w:cs="Times New Roman"/>
                <w:color w:val="000000" w:themeColor="text1"/>
                <w:sz w:val="24"/>
                <w:szCs w:val="24"/>
                <w:lang w:val="en-US" w:eastAsia="zh-CN"/>
                <w14:textFill>
                  <w14:solidFill>
                    <w14:schemeClr w14:val="tx1"/>
                  </w14:solidFill>
                </w14:textFill>
              </w:rPr>
              <w:t>项目</w:t>
            </w:r>
            <w:r>
              <w:rPr>
                <w:rFonts w:hint="default" w:ascii="Times New Roman" w:hAnsi="Times New Roman" w:eastAsia="宋体" w:cs="Times New Roman"/>
                <w:color w:val="auto"/>
                <w:sz w:val="24"/>
              </w:rPr>
              <w:t>废包装材料</w:t>
            </w:r>
            <w:r>
              <w:rPr>
                <w:rFonts w:hint="eastAsia" w:ascii="Times New Roman" w:hAnsi="Times New Roman" w:cs="Times New Roman"/>
                <w:b w:val="0"/>
                <w:bCs w:val="0"/>
                <w:color w:val="000000"/>
                <w:sz w:val="24"/>
                <w:szCs w:val="24"/>
                <w:lang w:val="en-US" w:eastAsia="zh-CN"/>
              </w:rPr>
              <w:t>收集后交原料厂家回收利用；</w:t>
            </w:r>
            <w:r>
              <w:rPr>
                <w:rFonts w:hint="default" w:ascii="Times New Roman" w:hAnsi="Times New Roman" w:eastAsia="宋体" w:cs="Times New Roman"/>
                <w:color w:val="auto"/>
                <w:sz w:val="24"/>
              </w:rPr>
              <w:t>除尘器收集尘</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地面清扫收集尘</w:t>
            </w:r>
            <w:r>
              <w:rPr>
                <w:rFonts w:hint="default" w:ascii="Times New Roman" w:hAnsi="Times New Roman" w:eastAsia="宋体" w:cs="Times New Roman"/>
                <w:color w:val="auto"/>
                <w:sz w:val="24"/>
                <w:szCs w:val="24"/>
                <w:lang w:val="en-US" w:eastAsia="zh-CN"/>
              </w:rPr>
              <w:t>回用于生产</w:t>
            </w:r>
            <w:r>
              <w:rPr>
                <w:rFonts w:hint="eastAsia" w:ascii="Times New Roman" w:hAnsi="Times New Roman" w:cs="Times New Roman"/>
                <w:b w:val="0"/>
                <w:bCs w:val="0"/>
                <w:color w:val="000000"/>
                <w:sz w:val="24"/>
                <w:szCs w:val="24"/>
                <w:lang w:val="en-US" w:eastAsia="zh-CN"/>
              </w:rPr>
              <w:t>；</w:t>
            </w:r>
            <w:r>
              <w:rPr>
                <w:rFonts w:hint="default" w:ascii="Times New Roman" w:hAnsi="Times New Roman" w:eastAsia="宋体" w:cs="Times New Roman"/>
                <w:color w:val="auto"/>
                <w:sz w:val="24"/>
              </w:rPr>
              <w:t>沉淀池污泥和生活垃圾</w:t>
            </w:r>
            <w:r>
              <w:rPr>
                <w:rFonts w:hint="eastAsia" w:ascii="Times New Roman" w:hAnsi="Times New Roman" w:cs="Times New Roman"/>
                <w:b w:val="0"/>
                <w:bCs w:val="0"/>
                <w:color w:val="000000"/>
                <w:sz w:val="24"/>
                <w:szCs w:val="24"/>
                <w:lang w:val="en-US" w:eastAsia="zh-CN"/>
              </w:rPr>
              <w:t>收集后由环卫部门统一清运处理</w:t>
            </w:r>
            <w:r>
              <w:rPr>
                <w:rFonts w:hint="default" w:ascii="Times New Roman" w:hAnsi="Times New Roman" w:cs="Times New Roman"/>
                <w:sz w:val="24"/>
                <w:szCs w:val="24"/>
              </w:rPr>
              <w:t>。</w:t>
            </w:r>
          </w:p>
          <w:p w14:paraId="611916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二、建议：</w:t>
            </w:r>
          </w:p>
          <w:p w14:paraId="750D66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加强生产装置和环保设施日常运行、维护、管理和台账记录。</w:t>
            </w:r>
          </w:p>
          <w:p w14:paraId="127102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2、制定突发环境事件应急预案，做好应急设施的检查维护，并配备足够的应急物资，定期组织开展应急演练</w:t>
            </w:r>
            <w:r>
              <w:rPr>
                <w:rFonts w:hint="default" w:ascii="Times New Roman" w:hAnsi="Times New Roman" w:cs="Times New Roman"/>
                <w:sz w:val="24"/>
                <w:szCs w:val="24"/>
                <w:lang w:val="en-US" w:eastAsia="zh-CN"/>
              </w:rPr>
              <w:t>。</w:t>
            </w:r>
          </w:p>
        </w:tc>
      </w:tr>
    </w:tbl>
    <w:p w14:paraId="5D6B9319">
      <w:pPr>
        <w:rPr>
          <w:rFonts w:hint="eastAsia"/>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63DD4B4D">
      <w:pPr>
        <w:pStyle w:val="2"/>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000000" w:themeColor="text1"/>
          <w:lang w:val="en-US" w:eastAsia="zh-CN"/>
          <w14:textFill>
            <w14:solidFill>
              <w14:schemeClr w14:val="tx1"/>
            </w14:solidFill>
          </w14:textFill>
        </w:rPr>
      </w:pPr>
      <w:bookmarkStart w:id="49" w:name="_Toc9761"/>
      <w:bookmarkStart w:id="50" w:name="_Toc25701"/>
      <w:bookmarkStart w:id="51" w:name="_Toc21493"/>
      <w:bookmarkStart w:id="52" w:name="_Toc3317"/>
      <w:bookmarkStart w:id="53" w:name="_Toc3090"/>
      <w:bookmarkStart w:id="54" w:name="_Toc19894"/>
      <w:r>
        <w:rPr>
          <w:rFonts w:hint="eastAsia"/>
          <w:color w:val="000000" w:themeColor="text1"/>
          <w:lang w:val="en-US" w:eastAsia="zh-CN"/>
          <w14:textFill>
            <w14:solidFill>
              <w14:schemeClr w14:val="tx1"/>
            </w14:solidFill>
          </w14:textFill>
        </w:rPr>
        <w:t>建设项目竣工环境保护“三同时”验收登记表</w:t>
      </w:r>
      <w:bookmarkEnd w:id="49"/>
      <w:bookmarkEnd w:id="50"/>
      <w:bookmarkEnd w:id="51"/>
      <w:bookmarkEnd w:id="52"/>
      <w:bookmarkEnd w:id="53"/>
      <w:bookmarkEnd w:id="54"/>
    </w:p>
    <w:p w14:paraId="06830C8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Times New Roman" w:hAnsi="Times New Roman" w:cs="Times New Roman"/>
          <w:color w:val="auto"/>
        </w:rPr>
      </w:pPr>
      <w:r>
        <w:rPr>
          <w:rFonts w:hint="eastAsia" w:ascii="宋体" w:hAnsi="宋体"/>
          <w:b/>
          <w:color w:val="auto"/>
          <w:szCs w:val="21"/>
        </w:rPr>
        <w:t>填表单位</w:t>
      </w:r>
      <w:r>
        <w:rPr>
          <w:rFonts w:hint="eastAsia" w:ascii="宋体" w:hAnsi="宋体"/>
          <w:b/>
          <w:color w:val="auto"/>
          <w:szCs w:val="21"/>
          <w:lang w:eastAsia="zh-CN"/>
        </w:rPr>
        <w:t>（</w:t>
      </w:r>
      <w:r>
        <w:rPr>
          <w:rFonts w:hint="eastAsia" w:ascii="宋体" w:hAnsi="宋体"/>
          <w:b/>
          <w:color w:val="auto"/>
          <w:szCs w:val="21"/>
        </w:rPr>
        <w:t>盖章</w:t>
      </w:r>
      <w:r>
        <w:rPr>
          <w:rFonts w:hint="eastAsia" w:ascii="宋体" w:hAnsi="宋体"/>
          <w:b/>
          <w:color w:val="auto"/>
          <w:szCs w:val="21"/>
          <w:lang w:eastAsia="zh-CN"/>
        </w:rPr>
        <w:t>）：</w:t>
      </w:r>
      <w:r>
        <w:rPr>
          <w:rFonts w:hint="eastAsia" w:ascii="宋体" w:hAnsi="宋体"/>
          <w:b/>
          <w:color w:val="auto"/>
          <w:szCs w:val="21"/>
        </w:rPr>
        <w:t xml:space="preserve"> </w:t>
      </w:r>
      <w:r>
        <w:rPr>
          <w:rFonts w:hint="eastAsia" w:ascii="新宋体" w:hAnsi="新宋体" w:eastAsia="新宋体" w:cs="宋体"/>
          <w:color w:val="auto"/>
          <w:spacing w:val="-8"/>
          <w:sz w:val="18"/>
          <w:szCs w:val="18"/>
          <w:lang w:eastAsia="zh-CN"/>
        </w:rPr>
        <w:t>佛山康立泰数码科技有限公司江西分公司</w:t>
      </w:r>
      <w:r>
        <w:rPr>
          <w:rFonts w:hint="eastAsia" w:ascii="宋体" w:hAnsi="宋体"/>
          <w:b/>
          <w:color w:val="auto"/>
          <w:szCs w:val="21"/>
        </w:rPr>
        <w:t xml:space="preserve">  填表人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r>
        <w:rPr>
          <w:rFonts w:hint="eastAsia" w:ascii="宋体" w:hAnsi="宋体"/>
          <w:b/>
          <w:color w:val="auto"/>
          <w:szCs w:val="21"/>
        </w:rPr>
        <w:t xml:space="preserve">                                   项目经办人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p>
    <w:tbl>
      <w:tblPr>
        <w:tblStyle w:val="24"/>
        <w:tblW w:w="16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74"/>
        <w:gridCol w:w="1129"/>
        <w:gridCol w:w="715"/>
        <w:gridCol w:w="850"/>
        <w:gridCol w:w="1418"/>
        <w:gridCol w:w="1127"/>
        <w:gridCol w:w="1014"/>
        <w:gridCol w:w="6"/>
        <w:gridCol w:w="526"/>
        <w:gridCol w:w="602"/>
        <w:gridCol w:w="1079"/>
        <w:gridCol w:w="1086"/>
        <w:gridCol w:w="1929"/>
        <w:gridCol w:w="991"/>
        <w:gridCol w:w="590"/>
        <w:gridCol w:w="354"/>
        <w:gridCol w:w="335"/>
        <w:gridCol w:w="295"/>
        <w:gridCol w:w="838"/>
        <w:gridCol w:w="167"/>
        <w:gridCol w:w="646"/>
      </w:tblGrid>
      <w:tr w14:paraId="0266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4" w:hRule="atLeast"/>
          <w:jc w:val="center"/>
        </w:trPr>
        <w:tc>
          <w:tcPr>
            <w:tcW w:w="440" w:type="dxa"/>
            <w:vMerge w:val="restart"/>
            <w:noWrap w:val="0"/>
            <w:textDirection w:val="tbRlV"/>
            <w:vAlign w:val="center"/>
          </w:tcPr>
          <w:p w14:paraId="3AD186CF">
            <w:pPr>
              <w:keepNext w:val="0"/>
              <w:keepLines w:val="0"/>
              <w:pageBreakBefore w:val="0"/>
              <w:widowControl/>
              <w:kinsoku/>
              <w:wordWrap/>
              <w:overflowPunct/>
              <w:topLinePunct w:val="0"/>
              <w:autoSpaceDE/>
              <w:autoSpaceDN/>
              <w:bidi w:val="0"/>
              <w:adjustRightInd w:val="0"/>
              <w:snapToGrid w:val="0"/>
              <w:spacing w:line="240" w:lineRule="auto"/>
              <w:ind w:left="113" w:right="113" w:firstLine="0" w:firstLineChars="0"/>
              <w:jc w:val="center"/>
              <w:outlineLvl w:val="9"/>
              <w:rPr>
                <w:b/>
                <w:color w:val="auto"/>
                <w:kern w:val="2"/>
                <w:sz w:val="15"/>
                <w:szCs w:val="15"/>
              </w:rPr>
            </w:pPr>
            <w:r>
              <w:rPr>
                <w:b/>
                <w:color w:val="auto"/>
                <w:kern w:val="2"/>
                <w:sz w:val="15"/>
                <w:szCs w:val="15"/>
              </w:rPr>
              <w:t>建设项目</w:t>
            </w:r>
          </w:p>
        </w:tc>
        <w:tc>
          <w:tcPr>
            <w:tcW w:w="2018" w:type="dxa"/>
            <w:gridSpan w:val="3"/>
            <w:noWrap w:val="0"/>
            <w:vAlign w:val="center"/>
          </w:tcPr>
          <w:p w14:paraId="7F90FE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项目名称</w:t>
            </w:r>
          </w:p>
        </w:tc>
        <w:tc>
          <w:tcPr>
            <w:tcW w:w="5543" w:type="dxa"/>
            <w:gridSpan w:val="7"/>
            <w:noWrap w:val="0"/>
            <w:vAlign w:val="center"/>
          </w:tcPr>
          <w:p w14:paraId="5269C2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r>
              <w:rPr>
                <w:rFonts w:hint="eastAsia"/>
                <w:color w:val="auto"/>
                <w:kern w:val="2"/>
                <w:sz w:val="15"/>
                <w:szCs w:val="15"/>
                <w:lang w:eastAsia="zh-CN"/>
              </w:rPr>
              <w:t>佛山康立泰数码科技有限公司江西分公司年产6万吨陶瓷原料生产建设项目</w:t>
            </w:r>
          </w:p>
        </w:tc>
        <w:tc>
          <w:tcPr>
            <w:tcW w:w="2165" w:type="dxa"/>
            <w:gridSpan w:val="2"/>
            <w:noWrap w:val="0"/>
            <w:vAlign w:val="center"/>
          </w:tcPr>
          <w:p w14:paraId="5F070E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rFonts w:hint="eastAsia"/>
                <w:b/>
                <w:color w:val="auto"/>
                <w:kern w:val="2"/>
                <w:sz w:val="15"/>
                <w:szCs w:val="15"/>
              </w:rPr>
              <w:t>项</w:t>
            </w:r>
            <w:r>
              <w:rPr>
                <w:b/>
                <w:color w:val="auto"/>
                <w:kern w:val="2"/>
                <w:sz w:val="15"/>
                <w:szCs w:val="15"/>
              </w:rPr>
              <w:t>目代码</w:t>
            </w:r>
          </w:p>
        </w:tc>
        <w:tc>
          <w:tcPr>
            <w:tcW w:w="1929" w:type="dxa"/>
            <w:noWrap w:val="0"/>
            <w:vAlign w:val="center"/>
          </w:tcPr>
          <w:p w14:paraId="0A1AC3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r>
              <w:rPr>
                <w:rFonts w:hint="eastAsia"/>
                <w:color w:val="auto"/>
                <w:kern w:val="2"/>
                <w:sz w:val="15"/>
                <w:szCs w:val="15"/>
                <w:lang w:val="en-US" w:eastAsia="zh-CN"/>
              </w:rPr>
              <w:t>2406-360983-04-01-752983</w:t>
            </w:r>
          </w:p>
        </w:tc>
        <w:tc>
          <w:tcPr>
            <w:tcW w:w="1581" w:type="dxa"/>
            <w:gridSpan w:val="2"/>
            <w:noWrap w:val="0"/>
            <w:vAlign w:val="center"/>
          </w:tcPr>
          <w:p w14:paraId="7BC324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建设地点</w:t>
            </w:r>
          </w:p>
        </w:tc>
        <w:tc>
          <w:tcPr>
            <w:tcW w:w="2635" w:type="dxa"/>
            <w:gridSpan w:val="6"/>
            <w:noWrap w:val="0"/>
            <w:vAlign w:val="center"/>
          </w:tcPr>
          <w:p w14:paraId="287C7D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eastAsia="zh-CN"/>
              </w:rPr>
            </w:pPr>
            <w:r>
              <w:rPr>
                <w:rFonts w:hint="eastAsia"/>
                <w:color w:val="auto"/>
                <w:kern w:val="2"/>
                <w:sz w:val="15"/>
                <w:szCs w:val="15"/>
                <w:lang w:eastAsia="zh-CN"/>
              </w:rPr>
              <w:t>江西省宜春市高安市独城镇独新路以北（江西省瑞丰制泵有限公司内）</w:t>
            </w:r>
          </w:p>
        </w:tc>
      </w:tr>
      <w:tr w14:paraId="5B48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440" w:type="dxa"/>
            <w:vMerge w:val="continue"/>
            <w:noWrap w:val="0"/>
            <w:vAlign w:val="center"/>
          </w:tcPr>
          <w:p w14:paraId="1B1447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588EE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行业类别（分类管理</w:t>
            </w:r>
            <w:r>
              <w:rPr>
                <w:rFonts w:hint="eastAsia"/>
                <w:b/>
                <w:color w:val="auto"/>
                <w:kern w:val="2"/>
                <w:sz w:val="15"/>
                <w:szCs w:val="15"/>
              </w:rPr>
              <w:t>名录</w:t>
            </w:r>
            <w:r>
              <w:rPr>
                <w:b/>
                <w:color w:val="auto"/>
                <w:kern w:val="2"/>
                <w:sz w:val="15"/>
                <w:szCs w:val="15"/>
              </w:rPr>
              <w:t>）</w:t>
            </w:r>
          </w:p>
        </w:tc>
        <w:tc>
          <w:tcPr>
            <w:tcW w:w="5543" w:type="dxa"/>
            <w:gridSpan w:val="7"/>
            <w:noWrap w:val="0"/>
            <w:vAlign w:val="center"/>
          </w:tcPr>
          <w:p w14:paraId="12436E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r>
              <w:rPr>
                <w:rFonts w:hint="eastAsia"/>
                <w:color w:val="auto"/>
                <w:kern w:val="2"/>
                <w:sz w:val="15"/>
                <w:szCs w:val="15"/>
                <w:lang w:val="en-US" w:eastAsia="zh-CN"/>
              </w:rPr>
              <w:t>C3099其他非金属矿物制品制造</w:t>
            </w:r>
          </w:p>
        </w:tc>
        <w:tc>
          <w:tcPr>
            <w:tcW w:w="2165" w:type="dxa"/>
            <w:gridSpan w:val="2"/>
            <w:noWrap w:val="0"/>
            <w:vAlign w:val="center"/>
          </w:tcPr>
          <w:p w14:paraId="52492C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建设性质</w:t>
            </w:r>
          </w:p>
        </w:tc>
        <w:tc>
          <w:tcPr>
            <w:tcW w:w="6145" w:type="dxa"/>
            <w:gridSpan w:val="9"/>
            <w:noWrap w:val="0"/>
            <w:vAlign w:val="center"/>
          </w:tcPr>
          <w:p w14:paraId="4C28C3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 xml:space="preserve"> </w:t>
            </w:r>
            <w:r>
              <w:rPr>
                <w:rFonts w:hint="eastAsia"/>
                <w:b/>
                <w:color w:val="auto"/>
                <w:kern w:val="2"/>
                <w:sz w:val="15"/>
                <w:szCs w:val="15"/>
                <w:lang w:eastAsia="zh-CN"/>
              </w:rPr>
              <w:t>√</w:t>
            </w:r>
            <w:r>
              <w:rPr>
                <w:b/>
                <w:color w:val="auto"/>
                <w:kern w:val="2"/>
                <w:sz w:val="15"/>
                <w:szCs w:val="15"/>
              </w:rPr>
              <w:t>新建  □改扩建  □技术改造</w:t>
            </w:r>
          </w:p>
        </w:tc>
      </w:tr>
      <w:tr w14:paraId="21D4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0D1170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5705D7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设计生产能力</w:t>
            </w:r>
          </w:p>
        </w:tc>
        <w:tc>
          <w:tcPr>
            <w:tcW w:w="5543" w:type="dxa"/>
            <w:gridSpan w:val="7"/>
            <w:noWrap w:val="0"/>
            <w:vAlign w:val="center"/>
          </w:tcPr>
          <w:p w14:paraId="7B8ADB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val="en-US" w:eastAsia="zh-CN"/>
              </w:rPr>
            </w:pPr>
            <w:r>
              <w:rPr>
                <w:rFonts w:hint="eastAsia"/>
                <w:color w:val="auto"/>
                <w:kern w:val="2"/>
                <w:sz w:val="15"/>
                <w:szCs w:val="15"/>
                <w:lang w:eastAsia="zh-CN"/>
              </w:rPr>
              <w:t>年产6万吨陶瓷原料</w:t>
            </w:r>
          </w:p>
        </w:tc>
        <w:tc>
          <w:tcPr>
            <w:tcW w:w="2165" w:type="dxa"/>
            <w:gridSpan w:val="2"/>
            <w:noWrap w:val="0"/>
            <w:vAlign w:val="center"/>
          </w:tcPr>
          <w:p w14:paraId="3F012A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实际生产能力</w:t>
            </w:r>
          </w:p>
        </w:tc>
        <w:tc>
          <w:tcPr>
            <w:tcW w:w="1929" w:type="dxa"/>
            <w:noWrap w:val="0"/>
            <w:vAlign w:val="center"/>
          </w:tcPr>
          <w:p w14:paraId="4188FF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b/>
                <w:color w:val="auto"/>
                <w:kern w:val="2"/>
                <w:sz w:val="15"/>
                <w:szCs w:val="15"/>
                <w:lang w:val="en-US" w:eastAsia="zh-CN"/>
              </w:rPr>
            </w:pPr>
            <w:r>
              <w:rPr>
                <w:rFonts w:hint="eastAsia"/>
                <w:color w:val="auto"/>
                <w:kern w:val="2"/>
                <w:sz w:val="15"/>
                <w:szCs w:val="15"/>
                <w:lang w:eastAsia="zh-CN"/>
              </w:rPr>
              <w:t>年产6万吨陶瓷原料</w:t>
            </w:r>
          </w:p>
        </w:tc>
        <w:tc>
          <w:tcPr>
            <w:tcW w:w="1935" w:type="dxa"/>
            <w:gridSpan w:val="3"/>
            <w:noWrap w:val="0"/>
            <w:vAlign w:val="center"/>
          </w:tcPr>
          <w:p w14:paraId="31EDD6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环评单位</w:t>
            </w:r>
          </w:p>
        </w:tc>
        <w:tc>
          <w:tcPr>
            <w:tcW w:w="2281" w:type="dxa"/>
            <w:gridSpan w:val="5"/>
            <w:noWrap w:val="0"/>
            <w:vAlign w:val="center"/>
          </w:tcPr>
          <w:p w14:paraId="150F73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val="en-US" w:eastAsia="zh-CN"/>
              </w:rPr>
            </w:pPr>
            <w:r>
              <w:rPr>
                <w:rFonts w:hint="eastAsia"/>
                <w:color w:val="auto"/>
                <w:kern w:val="2"/>
                <w:sz w:val="15"/>
                <w:szCs w:val="15"/>
                <w:lang w:val="en-US" w:eastAsia="zh-CN"/>
              </w:rPr>
              <w:t>江西博瑄环保有限公司</w:t>
            </w:r>
          </w:p>
        </w:tc>
      </w:tr>
      <w:tr w14:paraId="7643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jc w:val="center"/>
        </w:trPr>
        <w:tc>
          <w:tcPr>
            <w:tcW w:w="440" w:type="dxa"/>
            <w:vMerge w:val="continue"/>
            <w:noWrap w:val="0"/>
            <w:vAlign w:val="center"/>
          </w:tcPr>
          <w:p w14:paraId="008376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320A3B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环评文件审批机关</w:t>
            </w:r>
          </w:p>
        </w:tc>
        <w:tc>
          <w:tcPr>
            <w:tcW w:w="5543" w:type="dxa"/>
            <w:gridSpan w:val="7"/>
            <w:noWrap w:val="0"/>
            <w:vAlign w:val="center"/>
          </w:tcPr>
          <w:p w14:paraId="08987A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eastAsia="zh-CN"/>
              </w:rPr>
            </w:pPr>
            <w:r>
              <w:rPr>
                <w:rFonts w:hint="eastAsia"/>
                <w:color w:val="auto"/>
                <w:kern w:val="2"/>
                <w:sz w:val="15"/>
                <w:szCs w:val="15"/>
                <w:lang w:eastAsia="zh-CN"/>
              </w:rPr>
              <w:t>宜春市高安生态环境局</w:t>
            </w:r>
          </w:p>
        </w:tc>
        <w:tc>
          <w:tcPr>
            <w:tcW w:w="2165" w:type="dxa"/>
            <w:gridSpan w:val="2"/>
            <w:noWrap w:val="0"/>
            <w:vAlign w:val="center"/>
          </w:tcPr>
          <w:p w14:paraId="5AD48A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审批文号</w:t>
            </w:r>
          </w:p>
        </w:tc>
        <w:tc>
          <w:tcPr>
            <w:tcW w:w="1929" w:type="dxa"/>
            <w:noWrap w:val="0"/>
            <w:vAlign w:val="center"/>
          </w:tcPr>
          <w:p w14:paraId="075AD0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000000" w:themeColor="text1"/>
                <w:kern w:val="2"/>
                <w:sz w:val="15"/>
                <w:szCs w:val="15"/>
                <w:lang w:val="en-US" w:eastAsia="zh-CN"/>
                <w14:textFill>
                  <w14:solidFill>
                    <w14:schemeClr w14:val="tx1"/>
                  </w14:solidFill>
                </w14:textFill>
              </w:rPr>
            </w:pPr>
            <w:r>
              <w:rPr>
                <w:rFonts w:hint="eastAsia"/>
                <w:color w:val="000000" w:themeColor="text1"/>
                <w:kern w:val="2"/>
                <w:sz w:val="15"/>
                <w:szCs w:val="15"/>
                <w:lang w:val="en-US" w:eastAsia="zh-CN"/>
                <w14:textFill>
                  <w14:solidFill>
                    <w14:schemeClr w14:val="tx1"/>
                  </w14:solidFill>
                </w14:textFill>
              </w:rPr>
              <w:t>高环评字〔2025〕11号</w:t>
            </w:r>
          </w:p>
        </w:tc>
        <w:tc>
          <w:tcPr>
            <w:tcW w:w="1935" w:type="dxa"/>
            <w:gridSpan w:val="3"/>
            <w:noWrap w:val="0"/>
            <w:vAlign w:val="center"/>
          </w:tcPr>
          <w:p w14:paraId="37A79D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000000" w:themeColor="text1"/>
                <w:kern w:val="2"/>
                <w:sz w:val="15"/>
                <w:szCs w:val="15"/>
                <w14:textFill>
                  <w14:solidFill>
                    <w14:schemeClr w14:val="tx1"/>
                  </w14:solidFill>
                </w14:textFill>
              </w:rPr>
            </w:pPr>
            <w:r>
              <w:rPr>
                <w:rFonts w:hint="eastAsia"/>
                <w:b/>
                <w:color w:val="000000" w:themeColor="text1"/>
                <w:kern w:val="2"/>
                <w:sz w:val="15"/>
                <w:szCs w:val="15"/>
                <w14:textFill>
                  <w14:solidFill>
                    <w14:schemeClr w14:val="tx1"/>
                  </w14:solidFill>
                </w14:textFill>
              </w:rPr>
              <w:t>环评</w:t>
            </w:r>
            <w:r>
              <w:rPr>
                <w:b/>
                <w:color w:val="000000" w:themeColor="text1"/>
                <w:kern w:val="2"/>
                <w:sz w:val="15"/>
                <w:szCs w:val="15"/>
                <w14:textFill>
                  <w14:solidFill>
                    <w14:schemeClr w14:val="tx1"/>
                  </w14:solidFill>
                </w14:textFill>
              </w:rPr>
              <w:t>文件</w:t>
            </w:r>
            <w:r>
              <w:rPr>
                <w:rFonts w:hint="eastAsia"/>
                <w:b/>
                <w:color w:val="000000" w:themeColor="text1"/>
                <w:kern w:val="2"/>
                <w:sz w:val="15"/>
                <w:szCs w:val="15"/>
                <w14:textFill>
                  <w14:solidFill>
                    <w14:schemeClr w14:val="tx1"/>
                  </w14:solidFill>
                </w14:textFill>
              </w:rPr>
              <w:t>类型</w:t>
            </w:r>
          </w:p>
        </w:tc>
        <w:tc>
          <w:tcPr>
            <w:tcW w:w="2281" w:type="dxa"/>
            <w:gridSpan w:val="5"/>
            <w:noWrap w:val="0"/>
            <w:vAlign w:val="center"/>
          </w:tcPr>
          <w:p w14:paraId="1AB627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000000" w:themeColor="text1"/>
                <w:kern w:val="2"/>
                <w:sz w:val="15"/>
                <w:szCs w:val="15"/>
                <w:lang w:eastAsia="zh-CN"/>
                <w14:textFill>
                  <w14:solidFill>
                    <w14:schemeClr w14:val="tx1"/>
                  </w14:solidFill>
                </w14:textFill>
              </w:rPr>
            </w:pPr>
            <w:r>
              <w:rPr>
                <w:rFonts w:hint="eastAsia"/>
                <w:color w:val="000000" w:themeColor="text1"/>
                <w:kern w:val="2"/>
                <w:sz w:val="15"/>
                <w:szCs w:val="15"/>
                <w:lang w:eastAsia="zh-CN"/>
                <w14:textFill>
                  <w14:solidFill>
                    <w14:schemeClr w14:val="tx1"/>
                  </w14:solidFill>
                </w14:textFill>
              </w:rPr>
              <w:t>报告表</w:t>
            </w:r>
          </w:p>
        </w:tc>
      </w:tr>
      <w:tr w14:paraId="08FB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2DE37C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53C887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开工日期</w:t>
            </w:r>
          </w:p>
        </w:tc>
        <w:tc>
          <w:tcPr>
            <w:tcW w:w="5543" w:type="dxa"/>
            <w:gridSpan w:val="7"/>
            <w:noWrap w:val="0"/>
            <w:vAlign w:val="center"/>
          </w:tcPr>
          <w:p w14:paraId="72E772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165" w:type="dxa"/>
            <w:gridSpan w:val="2"/>
            <w:noWrap w:val="0"/>
            <w:vAlign w:val="center"/>
          </w:tcPr>
          <w:p w14:paraId="3C412F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竣工日期</w:t>
            </w:r>
          </w:p>
        </w:tc>
        <w:tc>
          <w:tcPr>
            <w:tcW w:w="1929" w:type="dxa"/>
            <w:noWrap w:val="0"/>
            <w:vAlign w:val="center"/>
          </w:tcPr>
          <w:p w14:paraId="5BC7AA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35" w:type="dxa"/>
            <w:gridSpan w:val="3"/>
            <w:noWrap w:val="0"/>
            <w:vAlign w:val="center"/>
          </w:tcPr>
          <w:p w14:paraId="2E941D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rFonts w:hint="eastAsia"/>
                <w:b/>
                <w:color w:val="auto"/>
                <w:kern w:val="2"/>
                <w:sz w:val="15"/>
                <w:szCs w:val="15"/>
              </w:rPr>
              <w:t>排污</w:t>
            </w:r>
            <w:r>
              <w:rPr>
                <w:rFonts w:hint="eastAsia"/>
                <w:b/>
                <w:color w:val="auto"/>
                <w:kern w:val="2"/>
                <w:sz w:val="15"/>
                <w:szCs w:val="15"/>
                <w:lang w:val="en-US" w:eastAsia="zh-CN"/>
              </w:rPr>
              <w:t>登记</w:t>
            </w:r>
            <w:r>
              <w:rPr>
                <w:rFonts w:hint="eastAsia"/>
                <w:b/>
                <w:color w:val="auto"/>
                <w:kern w:val="2"/>
                <w:sz w:val="15"/>
                <w:szCs w:val="15"/>
              </w:rPr>
              <w:t>时间</w:t>
            </w:r>
          </w:p>
        </w:tc>
        <w:tc>
          <w:tcPr>
            <w:tcW w:w="2281" w:type="dxa"/>
            <w:gridSpan w:val="5"/>
            <w:noWrap w:val="0"/>
            <w:vAlign w:val="center"/>
          </w:tcPr>
          <w:p w14:paraId="2F29BF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r>
              <w:rPr>
                <w:rFonts w:hint="eastAsia"/>
                <w:color w:val="000000" w:themeColor="text1"/>
                <w:kern w:val="2"/>
                <w:sz w:val="15"/>
                <w:szCs w:val="15"/>
                <w:lang w:val="en-US" w:eastAsia="zh-CN"/>
                <w14:textFill>
                  <w14:solidFill>
                    <w14:schemeClr w14:val="tx1"/>
                  </w14:solidFill>
                </w14:textFill>
              </w:rPr>
              <w:t>2026.4.10</w:t>
            </w:r>
          </w:p>
        </w:tc>
      </w:tr>
      <w:tr w14:paraId="0C81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3D548C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0DE493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环保设施设计单位</w:t>
            </w:r>
          </w:p>
        </w:tc>
        <w:tc>
          <w:tcPr>
            <w:tcW w:w="5543" w:type="dxa"/>
            <w:gridSpan w:val="7"/>
            <w:noWrap w:val="0"/>
            <w:vAlign w:val="center"/>
          </w:tcPr>
          <w:p w14:paraId="0314A8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sz w:val="15"/>
                <w:szCs w:val="15"/>
              </w:rPr>
            </w:pPr>
          </w:p>
        </w:tc>
        <w:tc>
          <w:tcPr>
            <w:tcW w:w="2165" w:type="dxa"/>
            <w:gridSpan w:val="2"/>
            <w:noWrap w:val="0"/>
            <w:vAlign w:val="center"/>
          </w:tcPr>
          <w:p w14:paraId="63C453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sz w:val="15"/>
                <w:szCs w:val="15"/>
              </w:rPr>
            </w:pPr>
            <w:r>
              <w:rPr>
                <w:b/>
                <w:color w:val="auto"/>
                <w:sz w:val="15"/>
                <w:szCs w:val="15"/>
              </w:rPr>
              <w:t>环保设施施工单位</w:t>
            </w:r>
          </w:p>
        </w:tc>
        <w:tc>
          <w:tcPr>
            <w:tcW w:w="1929" w:type="dxa"/>
            <w:noWrap w:val="0"/>
            <w:vAlign w:val="center"/>
          </w:tcPr>
          <w:p w14:paraId="313D31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35" w:type="dxa"/>
            <w:gridSpan w:val="3"/>
            <w:noWrap w:val="0"/>
            <w:vAlign w:val="center"/>
          </w:tcPr>
          <w:p w14:paraId="094B87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rFonts w:hint="eastAsia"/>
                <w:b/>
                <w:color w:val="auto"/>
                <w:kern w:val="2"/>
                <w:sz w:val="15"/>
                <w:szCs w:val="15"/>
              </w:rPr>
              <w:t>本工程排污</w:t>
            </w:r>
            <w:r>
              <w:rPr>
                <w:rFonts w:hint="eastAsia"/>
                <w:b/>
                <w:color w:val="auto"/>
                <w:kern w:val="2"/>
                <w:sz w:val="15"/>
                <w:szCs w:val="15"/>
                <w:lang w:val="en-US" w:eastAsia="zh-CN"/>
              </w:rPr>
              <w:t>登记</w:t>
            </w:r>
            <w:r>
              <w:rPr>
                <w:b/>
                <w:color w:val="auto"/>
                <w:kern w:val="2"/>
                <w:sz w:val="15"/>
                <w:szCs w:val="15"/>
              </w:rPr>
              <w:t>编号</w:t>
            </w:r>
          </w:p>
        </w:tc>
        <w:tc>
          <w:tcPr>
            <w:tcW w:w="2281" w:type="dxa"/>
            <w:gridSpan w:val="5"/>
            <w:noWrap w:val="0"/>
            <w:vAlign w:val="center"/>
          </w:tcPr>
          <w:p w14:paraId="5FCBA3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000000" w:themeColor="text1"/>
                <w:kern w:val="2"/>
                <w:sz w:val="15"/>
                <w:szCs w:val="15"/>
                <w:lang w:eastAsia="zh-CN"/>
                <w14:textFill>
                  <w14:solidFill>
                    <w14:schemeClr w14:val="tx1"/>
                  </w14:solidFill>
                </w14:textFill>
              </w:rPr>
            </w:pPr>
            <w:r>
              <w:rPr>
                <w:rFonts w:hint="eastAsia"/>
                <w:color w:val="000000" w:themeColor="text1"/>
                <w:kern w:val="2"/>
                <w:sz w:val="15"/>
                <w:szCs w:val="15"/>
                <w:lang w:eastAsia="zh-CN"/>
                <w14:textFill>
                  <w14:solidFill>
                    <w14:schemeClr w14:val="tx1"/>
                  </w14:solidFill>
                </w14:textFill>
              </w:rPr>
              <w:t>91360983MADNNUJ93Q001X</w:t>
            </w:r>
          </w:p>
        </w:tc>
      </w:tr>
      <w:tr w14:paraId="61A0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jc w:val="center"/>
        </w:trPr>
        <w:tc>
          <w:tcPr>
            <w:tcW w:w="440" w:type="dxa"/>
            <w:vMerge w:val="continue"/>
            <w:noWrap w:val="0"/>
            <w:vAlign w:val="center"/>
          </w:tcPr>
          <w:p w14:paraId="2DB89B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1E0165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验收单位</w:t>
            </w:r>
          </w:p>
        </w:tc>
        <w:tc>
          <w:tcPr>
            <w:tcW w:w="5543" w:type="dxa"/>
            <w:gridSpan w:val="7"/>
            <w:noWrap w:val="0"/>
            <w:vAlign w:val="center"/>
          </w:tcPr>
          <w:p w14:paraId="15A1FA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p>
        </w:tc>
        <w:tc>
          <w:tcPr>
            <w:tcW w:w="2165" w:type="dxa"/>
            <w:gridSpan w:val="2"/>
            <w:noWrap w:val="0"/>
            <w:vAlign w:val="center"/>
          </w:tcPr>
          <w:p w14:paraId="7ED6C9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环保设施监测单位</w:t>
            </w:r>
          </w:p>
        </w:tc>
        <w:tc>
          <w:tcPr>
            <w:tcW w:w="1929" w:type="dxa"/>
            <w:noWrap w:val="0"/>
            <w:vAlign w:val="center"/>
          </w:tcPr>
          <w:p w14:paraId="7B4C82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eastAsia="zh-CN"/>
              </w:rPr>
            </w:pPr>
          </w:p>
        </w:tc>
        <w:tc>
          <w:tcPr>
            <w:tcW w:w="1935" w:type="dxa"/>
            <w:gridSpan w:val="3"/>
            <w:noWrap w:val="0"/>
            <w:vAlign w:val="center"/>
          </w:tcPr>
          <w:p w14:paraId="233029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验收监测</w:t>
            </w:r>
            <w:r>
              <w:rPr>
                <w:rFonts w:hint="eastAsia"/>
                <w:b/>
                <w:color w:val="auto"/>
                <w:kern w:val="2"/>
                <w:sz w:val="15"/>
                <w:szCs w:val="15"/>
              </w:rPr>
              <w:t>时工况</w:t>
            </w:r>
          </w:p>
        </w:tc>
        <w:tc>
          <w:tcPr>
            <w:tcW w:w="2281" w:type="dxa"/>
            <w:gridSpan w:val="5"/>
            <w:noWrap w:val="0"/>
            <w:vAlign w:val="center"/>
          </w:tcPr>
          <w:p w14:paraId="6DFFA9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r>
              <w:rPr>
                <w:rFonts w:hint="eastAsia"/>
                <w:color w:val="auto"/>
                <w:kern w:val="2"/>
                <w:sz w:val="15"/>
                <w:szCs w:val="15"/>
                <w:lang w:val="en-US" w:eastAsia="zh-CN"/>
              </w:rPr>
              <w:t>≥75%</w:t>
            </w:r>
          </w:p>
        </w:tc>
      </w:tr>
      <w:tr w14:paraId="5918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 w:hRule="atLeast"/>
          <w:jc w:val="center"/>
        </w:trPr>
        <w:tc>
          <w:tcPr>
            <w:tcW w:w="440" w:type="dxa"/>
            <w:vMerge w:val="continue"/>
            <w:noWrap w:val="0"/>
            <w:vAlign w:val="center"/>
          </w:tcPr>
          <w:p w14:paraId="0C7F69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7FBACC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投资总概算（万元）</w:t>
            </w:r>
          </w:p>
        </w:tc>
        <w:tc>
          <w:tcPr>
            <w:tcW w:w="5543" w:type="dxa"/>
            <w:gridSpan w:val="7"/>
            <w:noWrap w:val="0"/>
            <w:vAlign w:val="center"/>
          </w:tcPr>
          <w:p w14:paraId="5D91AF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b w:val="0"/>
                <w:bCs/>
                <w:color w:val="auto"/>
                <w:kern w:val="2"/>
                <w:sz w:val="15"/>
                <w:szCs w:val="15"/>
                <w:lang w:val="en-US" w:eastAsia="zh-CN"/>
              </w:rPr>
            </w:pPr>
            <w:r>
              <w:rPr>
                <w:rFonts w:hint="eastAsia"/>
                <w:b w:val="0"/>
                <w:bCs/>
                <w:color w:val="auto"/>
                <w:kern w:val="2"/>
                <w:sz w:val="15"/>
                <w:szCs w:val="15"/>
                <w:lang w:val="en-US" w:eastAsia="zh-CN"/>
              </w:rPr>
              <w:t>1500</w:t>
            </w:r>
          </w:p>
        </w:tc>
        <w:tc>
          <w:tcPr>
            <w:tcW w:w="2165" w:type="dxa"/>
            <w:gridSpan w:val="2"/>
            <w:noWrap w:val="0"/>
            <w:vAlign w:val="center"/>
          </w:tcPr>
          <w:p w14:paraId="218C9A78">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环保投资总概算（万元）</w:t>
            </w:r>
          </w:p>
        </w:tc>
        <w:tc>
          <w:tcPr>
            <w:tcW w:w="1929" w:type="dxa"/>
            <w:noWrap w:val="0"/>
            <w:vAlign w:val="center"/>
          </w:tcPr>
          <w:p w14:paraId="03117F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b w:val="0"/>
                <w:bCs/>
                <w:color w:val="auto"/>
                <w:kern w:val="2"/>
                <w:sz w:val="15"/>
                <w:szCs w:val="15"/>
                <w:lang w:val="en-US" w:eastAsia="zh-CN"/>
              </w:rPr>
            </w:pPr>
            <w:r>
              <w:rPr>
                <w:rFonts w:hint="eastAsia"/>
                <w:b w:val="0"/>
                <w:bCs/>
                <w:color w:val="auto"/>
                <w:kern w:val="2"/>
                <w:sz w:val="15"/>
                <w:szCs w:val="15"/>
                <w:lang w:val="en-US" w:eastAsia="zh-CN"/>
              </w:rPr>
              <w:t>30</w:t>
            </w:r>
          </w:p>
        </w:tc>
        <w:tc>
          <w:tcPr>
            <w:tcW w:w="1935" w:type="dxa"/>
            <w:gridSpan w:val="3"/>
            <w:noWrap w:val="0"/>
            <w:vAlign w:val="center"/>
          </w:tcPr>
          <w:p w14:paraId="09F937B6">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所占比例（%）</w:t>
            </w:r>
          </w:p>
        </w:tc>
        <w:tc>
          <w:tcPr>
            <w:tcW w:w="2281" w:type="dxa"/>
            <w:gridSpan w:val="5"/>
            <w:noWrap w:val="0"/>
            <w:vAlign w:val="center"/>
          </w:tcPr>
          <w:p w14:paraId="5FE8FAAD">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r>
              <w:rPr>
                <w:rFonts w:hint="eastAsia"/>
                <w:color w:val="auto"/>
                <w:kern w:val="2"/>
                <w:sz w:val="15"/>
                <w:szCs w:val="15"/>
                <w:lang w:val="en-US" w:eastAsia="zh-CN"/>
              </w:rPr>
              <w:t>2</w:t>
            </w:r>
          </w:p>
        </w:tc>
      </w:tr>
      <w:tr w14:paraId="5EBA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 w:hRule="atLeast"/>
          <w:jc w:val="center"/>
        </w:trPr>
        <w:tc>
          <w:tcPr>
            <w:tcW w:w="440" w:type="dxa"/>
            <w:vMerge w:val="continue"/>
            <w:noWrap w:val="0"/>
            <w:vAlign w:val="center"/>
          </w:tcPr>
          <w:p w14:paraId="53E0F4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6B158C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实际总投资</w:t>
            </w:r>
          </w:p>
        </w:tc>
        <w:tc>
          <w:tcPr>
            <w:tcW w:w="5543" w:type="dxa"/>
            <w:gridSpan w:val="7"/>
            <w:noWrap w:val="0"/>
            <w:vAlign w:val="center"/>
          </w:tcPr>
          <w:p w14:paraId="050388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b w:val="0"/>
                <w:bCs/>
                <w:color w:val="000000" w:themeColor="text1"/>
                <w:kern w:val="2"/>
                <w:sz w:val="15"/>
                <w:szCs w:val="15"/>
                <w:lang w:val="en-US" w:eastAsia="zh-CN"/>
                <w14:textFill>
                  <w14:solidFill>
                    <w14:schemeClr w14:val="tx1"/>
                  </w14:solidFill>
                </w14:textFill>
              </w:rPr>
            </w:pPr>
            <w:r>
              <w:rPr>
                <w:rFonts w:hint="eastAsia"/>
                <w:b w:val="0"/>
                <w:bCs/>
                <w:color w:val="000000" w:themeColor="text1"/>
                <w:kern w:val="2"/>
                <w:sz w:val="15"/>
                <w:szCs w:val="15"/>
                <w:lang w:val="en-US" w:eastAsia="zh-CN"/>
                <w14:textFill>
                  <w14:solidFill>
                    <w14:schemeClr w14:val="tx1"/>
                  </w14:solidFill>
                </w14:textFill>
              </w:rPr>
              <w:t>1500</w:t>
            </w:r>
          </w:p>
        </w:tc>
        <w:tc>
          <w:tcPr>
            <w:tcW w:w="2165" w:type="dxa"/>
            <w:gridSpan w:val="2"/>
            <w:noWrap w:val="0"/>
            <w:vAlign w:val="center"/>
          </w:tcPr>
          <w:p w14:paraId="5C2A102D">
            <w:pPr>
              <w:keepNext w:val="0"/>
              <w:keepLines w:val="0"/>
              <w:pageBreakBefore w:val="0"/>
              <w:widowControl/>
              <w:kinsoku/>
              <w:wordWrap/>
              <w:overflowPunct/>
              <w:topLinePunct w:val="0"/>
              <w:autoSpaceDE/>
              <w:autoSpaceDN/>
              <w:bidi w:val="0"/>
              <w:adjustRightInd w:val="0"/>
              <w:snapToGrid w:val="0"/>
              <w:spacing w:line="240" w:lineRule="auto"/>
              <w:ind w:right="300" w:firstLine="0" w:firstLineChars="0"/>
              <w:jc w:val="center"/>
              <w:outlineLvl w:val="9"/>
              <w:rPr>
                <w:b/>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实际环保投资（万元）</w:t>
            </w:r>
          </w:p>
        </w:tc>
        <w:tc>
          <w:tcPr>
            <w:tcW w:w="1929" w:type="dxa"/>
            <w:noWrap w:val="0"/>
            <w:vAlign w:val="center"/>
          </w:tcPr>
          <w:p w14:paraId="317D0E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b w:val="0"/>
                <w:bCs/>
                <w:color w:val="000000" w:themeColor="text1"/>
                <w:kern w:val="2"/>
                <w:sz w:val="15"/>
                <w:szCs w:val="15"/>
                <w:lang w:val="en-US" w:eastAsia="zh-CN"/>
                <w14:textFill>
                  <w14:solidFill>
                    <w14:schemeClr w14:val="tx1"/>
                  </w14:solidFill>
                </w14:textFill>
              </w:rPr>
            </w:pPr>
            <w:r>
              <w:rPr>
                <w:rFonts w:hint="eastAsia"/>
                <w:b w:val="0"/>
                <w:bCs/>
                <w:color w:val="000000" w:themeColor="text1"/>
                <w:kern w:val="2"/>
                <w:sz w:val="15"/>
                <w:szCs w:val="15"/>
                <w:lang w:val="en-US" w:eastAsia="zh-CN"/>
                <w14:textFill>
                  <w14:solidFill>
                    <w14:schemeClr w14:val="tx1"/>
                  </w14:solidFill>
                </w14:textFill>
              </w:rPr>
              <w:t>22</w:t>
            </w:r>
          </w:p>
        </w:tc>
        <w:tc>
          <w:tcPr>
            <w:tcW w:w="1935" w:type="dxa"/>
            <w:gridSpan w:val="3"/>
            <w:noWrap w:val="0"/>
            <w:vAlign w:val="center"/>
          </w:tcPr>
          <w:p w14:paraId="579CB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所占比例（%）</w:t>
            </w:r>
          </w:p>
        </w:tc>
        <w:tc>
          <w:tcPr>
            <w:tcW w:w="2281" w:type="dxa"/>
            <w:gridSpan w:val="5"/>
            <w:noWrap w:val="0"/>
            <w:vAlign w:val="center"/>
          </w:tcPr>
          <w:p w14:paraId="56C497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r>
              <w:rPr>
                <w:rFonts w:hint="eastAsia"/>
                <w:color w:val="000000" w:themeColor="text1"/>
                <w:kern w:val="2"/>
                <w:sz w:val="15"/>
                <w:szCs w:val="15"/>
                <w:lang w:val="en-US" w:eastAsia="zh-CN"/>
                <w14:textFill>
                  <w14:solidFill>
                    <w14:schemeClr w14:val="tx1"/>
                  </w14:solidFill>
                </w14:textFill>
              </w:rPr>
              <w:t>1.47</w:t>
            </w:r>
          </w:p>
        </w:tc>
      </w:tr>
      <w:tr w14:paraId="6246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1" w:hRule="atLeast"/>
          <w:jc w:val="center"/>
        </w:trPr>
        <w:tc>
          <w:tcPr>
            <w:tcW w:w="440" w:type="dxa"/>
            <w:vMerge w:val="continue"/>
            <w:noWrap w:val="0"/>
            <w:vAlign w:val="center"/>
          </w:tcPr>
          <w:p w14:paraId="6822DA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79B68E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废水治理（万元）</w:t>
            </w:r>
          </w:p>
        </w:tc>
        <w:tc>
          <w:tcPr>
            <w:tcW w:w="850" w:type="dxa"/>
            <w:noWrap w:val="0"/>
            <w:vAlign w:val="center"/>
          </w:tcPr>
          <w:p w14:paraId="579E26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r>
              <w:rPr>
                <w:rFonts w:hint="eastAsia"/>
                <w:color w:val="000000" w:themeColor="text1"/>
                <w:kern w:val="2"/>
                <w:sz w:val="15"/>
                <w:szCs w:val="15"/>
                <w:lang w:val="en-US" w:eastAsia="zh-CN"/>
                <w14:textFill>
                  <w14:solidFill>
                    <w14:schemeClr w14:val="tx1"/>
                  </w14:solidFill>
                </w14:textFill>
              </w:rPr>
              <w:t>2</w:t>
            </w:r>
          </w:p>
        </w:tc>
        <w:tc>
          <w:tcPr>
            <w:tcW w:w="1418" w:type="dxa"/>
            <w:noWrap w:val="0"/>
            <w:vAlign w:val="center"/>
          </w:tcPr>
          <w:p w14:paraId="757424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废气治理（万元）</w:t>
            </w:r>
          </w:p>
        </w:tc>
        <w:tc>
          <w:tcPr>
            <w:tcW w:w="1127" w:type="dxa"/>
            <w:noWrap w:val="0"/>
            <w:vAlign w:val="center"/>
          </w:tcPr>
          <w:p w14:paraId="55A426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r>
              <w:rPr>
                <w:rFonts w:hint="eastAsia"/>
                <w:color w:val="000000" w:themeColor="text1"/>
                <w:kern w:val="2"/>
                <w:sz w:val="15"/>
                <w:szCs w:val="15"/>
                <w:lang w:val="en-US" w:eastAsia="zh-CN"/>
                <w14:textFill>
                  <w14:solidFill>
                    <w14:schemeClr w14:val="tx1"/>
                  </w14:solidFill>
                </w14:textFill>
              </w:rPr>
              <w:t>15</w:t>
            </w:r>
          </w:p>
        </w:tc>
        <w:tc>
          <w:tcPr>
            <w:tcW w:w="1546" w:type="dxa"/>
            <w:gridSpan w:val="3"/>
            <w:noWrap w:val="0"/>
            <w:vAlign w:val="center"/>
          </w:tcPr>
          <w:p w14:paraId="5162DE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噪声治理（万元）</w:t>
            </w:r>
          </w:p>
        </w:tc>
        <w:tc>
          <w:tcPr>
            <w:tcW w:w="602" w:type="dxa"/>
            <w:noWrap w:val="0"/>
            <w:vAlign w:val="center"/>
          </w:tcPr>
          <w:p w14:paraId="3D2C32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r>
              <w:rPr>
                <w:rFonts w:hint="eastAsia"/>
                <w:color w:val="000000" w:themeColor="text1"/>
                <w:kern w:val="2"/>
                <w:sz w:val="15"/>
                <w:szCs w:val="15"/>
                <w:lang w:val="en-US" w:eastAsia="zh-CN"/>
                <w14:textFill>
                  <w14:solidFill>
                    <w14:schemeClr w14:val="tx1"/>
                  </w14:solidFill>
                </w14:textFill>
              </w:rPr>
              <w:t>2</w:t>
            </w:r>
          </w:p>
        </w:tc>
        <w:tc>
          <w:tcPr>
            <w:tcW w:w="2165" w:type="dxa"/>
            <w:gridSpan w:val="2"/>
            <w:noWrap w:val="0"/>
            <w:vAlign w:val="center"/>
          </w:tcPr>
          <w:p w14:paraId="0BA879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固</w:t>
            </w:r>
            <w:r>
              <w:rPr>
                <w:rFonts w:hint="eastAsia"/>
                <w:b/>
                <w:color w:val="000000" w:themeColor="text1"/>
                <w:kern w:val="2"/>
                <w:sz w:val="15"/>
                <w:szCs w:val="15"/>
                <w14:textFill>
                  <w14:solidFill>
                    <w14:schemeClr w14:val="tx1"/>
                  </w14:solidFill>
                </w14:textFill>
              </w:rPr>
              <w:t>体</w:t>
            </w:r>
            <w:r>
              <w:rPr>
                <w:b/>
                <w:color w:val="000000" w:themeColor="text1"/>
                <w:kern w:val="2"/>
                <w:sz w:val="15"/>
                <w:szCs w:val="15"/>
                <w14:textFill>
                  <w14:solidFill>
                    <w14:schemeClr w14:val="tx1"/>
                  </w14:solidFill>
                </w14:textFill>
              </w:rPr>
              <w:t>废</w:t>
            </w:r>
            <w:r>
              <w:rPr>
                <w:rFonts w:hint="eastAsia"/>
                <w:b/>
                <w:color w:val="000000" w:themeColor="text1"/>
                <w:kern w:val="2"/>
                <w:sz w:val="15"/>
                <w:szCs w:val="15"/>
                <w14:textFill>
                  <w14:solidFill>
                    <w14:schemeClr w14:val="tx1"/>
                  </w14:solidFill>
                </w14:textFill>
              </w:rPr>
              <w:t>物</w:t>
            </w:r>
            <w:r>
              <w:rPr>
                <w:b/>
                <w:color w:val="000000" w:themeColor="text1"/>
                <w:kern w:val="2"/>
                <w:sz w:val="15"/>
                <w:szCs w:val="15"/>
                <w14:textFill>
                  <w14:solidFill>
                    <w14:schemeClr w14:val="tx1"/>
                  </w14:solidFill>
                </w14:textFill>
              </w:rPr>
              <w:t>治理（万元）</w:t>
            </w:r>
          </w:p>
        </w:tc>
        <w:tc>
          <w:tcPr>
            <w:tcW w:w="1929" w:type="dxa"/>
            <w:noWrap w:val="0"/>
            <w:vAlign w:val="center"/>
          </w:tcPr>
          <w:p w14:paraId="592F7F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r>
              <w:rPr>
                <w:rFonts w:hint="eastAsia"/>
                <w:color w:val="000000" w:themeColor="text1"/>
                <w:kern w:val="2"/>
                <w:sz w:val="15"/>
                <w:szCs w:val="15"/>
                <w:lang w:val="en-US" w:eastAsia="zh-CN"/>
                <w14:textFill>
                  <w14:solidFill>
                    <w14:schemeClr w14:val="tx1"/>
                  </w14:solidFill>
                </w14:textFill>
              </w:rPr>
              <w:t>3</w:t>
            </w:r>
          </w:p>
        </w:tc>
        <w:tc>
          <w:tcPr>
            <w:tcW w:w="1935" w:type="dxa"/>
            <w:gridSpan w:val="3"/>
            <w:noWrap w:val="0"/>
            <w:vAlign w:val="center"/>
          </w:tcPr>
          <w:p w14:paraId="0E9353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绿化及生态（万元）</w:t>
            </w:r>
          </w:p>
        </w:tc>
        <w:tc>
          <w:tcPr>
            <w:tcW w:w="630" w:type="dxa"/>
            <w:gridSpan w:val="2"/>
            <w:noWrap w:val="0"/>
            <w:vAlign w:val="center"/>
          </w:tcPr>
          <w:p w14:paraId="5EE1C8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p>
        </w:tc>
        <w:tc>
          <w:tcPr>
            <w:tcW w:w="1005" w:type="dxa"/>
            <w:gridSpan w:val="2"/>
            <w:noWrap w:val="0"/>
            <w:vAlign w:val="center"/>
          </w:tcPr>
          <w:p w14:paraId="0A708E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000000" w:themeColor="text1"/>
                <w:kern w:val="2"/>
                <w:sz w:val="15"/>
                <w:szCs w:val="15"/>
                <w14:textFill>
                  <w14:solidFill>
                    <w14:schemeClr w14:val="tx1"/>
                  </w14:solidFill>
                </w14:textFill>
              </w:rPr>
            </w:pPr>
            <w:r>
              <w:rPr>
                <w:b/>
                <w:color w:val="000000" w:themeColor="text1"/>
                <w:kern w:val="2"/>
                <w:sz w:val="15"/>
                <w:szCs w:val="15"/>
                <w14:textFill>
                  <w14:solidFill>
                    <w14:schemeClr w14:val="tx1"/>
                  </w14:solidFill>
                </w14:textFill>
              </w:rPr>
              <w:t>其</w:t>
            </w:r>
            <w:r>
              <w:rPr>
                <w:rFonts w:hint="eastAsia"/>
                <w:b/>
                <w:color w:val="000000" w:themeColor="text1"/>
                <w:kern w:val="2"/>
                <w:sz w:val="15"/>
                <w:szCs w:val="15"/>
                <w14:textFill>
                  <w14:solidFill>
                    <w14:schemeClr w14:val="tx1"/>
                  </w14:solidFill>
                </w14:textFill>
              </w:rPr>
              <w:t>他</w:t>
            </w:r>
            <w:r>
              <w:rPr>
                <w:b/>
                <w:color w:val="000000" w:themeColor="text1"/>
                <w:kern w:val="2"/>
                <w:sz w:val="15"/>
                <w:szCs w:val="15"/>
                <w14:textFill>
                  <w14:solidFill>
                    <w14:schemeClr w14:val="tx1"/>
                  </w14:solidFill>
                </w14:textFill>
              </w:rPr>
              <w:t>（万元）</w:t>
            </w:r>
          </w:p>
        </w:tc>
        <w:tc>
          <w:tcPr>
            <w:tcW w:w="646" w:type="dxa"/>
            <w:noWrap w:val="0"/>
            <w:vAlign w:val="center"/>
          </w:tcPr>
          <w:p w14:paraId="120775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000000" w:themeColor="text1"/>
                <w:kern w:val="2"/>
                <w:sz w:val="15"/>
                <w:szCs w:val="15"/>
                <w:lang w:val="en-US" w:eastAsia="zh-CN"/>
                <w14:textFill>
                  <w14:solidFill>
                    <w14:schemeClr w14:val="tx1"/>
                  </w14:solidFill>
                </w14:textFill>
              </w:rPr>
            </w:pPr>
          </w:p>
        </w:tc>
      </w:tr>
      <w:tr w14:paraId="38DD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2F1C48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018" w:type="dxa"/>
            <w:gridSpan w:val="3"/>
            <w:noWrap w:val="0"/>
            <w:vAlign w:val="center"/>
          </w:tcPr>
          <w:p w14:paraId="2F49F1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新增废水处理设施能力</w:t>
            </w:r>
          </w:p>
        </w:tc>
        <w:tc>
          <w:tcPr>
            <w:tcW w:w="5543" w:type="dxa"/>
            <w:gridSpan w:val="7"/>
            <w:noWrap w:val="0"/>
            <w:vAlign w:val="center"/>
          </w:tcPr>
          <w:p w14:paraId="527FCA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2165" w:type="dxa"/>
            <w:gridSpan w:val="2"/>
            <w:noWrap w:val="0"/>
            <w:vAlign w:val="center"/>
          </w:tcPr>
          <w:p w14:paraId="769F50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新增废气处理设施能力</w:t>
            </w:r>
          </w:p>
        </w:tc>
        <w:tc>
          <w:tcPr>
            <w:tcW w:w="1929" w:type="dxa"/>
            <w:noWrap w:val="0"/>
            <w:vAlign w:val="center"/>
          </w:tcPr>
          <w:p w14:paraId="043BC2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35" w:type="dxa"/>
            <w:gridSpan w:val="3"/>
            <w:noWrap w:val="0"/>
            <w:vAlign w:val="center"/>
          </w:tcPr>
          <w:p w14:paraId="658870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年平均工作时</w:t>
            </w:r>
          </w:p>
        </w:tc>
        <w:tc>
          <w:tcPr>
            <w:tcW w:w="2281" w:type="dxa"/>
            <w:gridSpan w:val="5"/>
            <w:noWrap w:val="0"/>
            <w:vAlign w:val="center"/>
          </w:tcPr>
          <w:p w14:paraId="36B796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r>
              <w:rPr>
                <w:rFonts w:hint="eastAsia"/>
                <w:color w:val="auto"/>
                <w:kern w:val="2"/>
                <w:sz w:val="15"/>
                <w:szCs w:val="15"/>
                <w:lang w:val="en-US" w:eastAsia="zh-CN"/>
              </w:rPr>
              <w:t>7200</w:t>
            </w:r>
          </w:p>
        </w:tc>
      </w:tr>
      <w:tr w14:paraId="5FE7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2458" w:type="dxa"/>
            <w:gridSpan w:val="4"/>
            <w:noWrap w:val="0"/>
            <w:vAlign w:val="center"/>
          </w:tcPr>
          <w:p w14:paraId="4425E2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运营单位</w:t>
            </w:r>
          </w:p>
        </w:tc>
        <w:tc>
          <w:tcPr>
            <w:tcW w:w="4409" w:type="dxa"/>
            <w:gridSpan w:val="4"/>
            <w:noWrap w:val="0"/>
            <w:vAlign w:val="center"/>
          </w:tcPr>
          <w:p w14:paraId="6C23AD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eastAsia="zh-CN"/>
              </w:rPr>
            </w:pPr>
            <w:r>
              <w:rPr>
                <w:rFonts w:hint="eastAsia"/>
                <w:color w:val="auto"/>
                <w:kern w:val="2"/>
                <w:sz w:val="15"/>
                <w:szCs w:val="15"/>
                <w:lang w:eastAsia="zh-CN"/>
              </w:rPr>
              <w:t>佛山康立泰数码科技有限公司江西分公司</w:t>
            </w:r>
          </w:p>
        </w:tc>
        <w:tc>
          <w:tcPr>
            <w:tcW w:w="3299" w:type="dxa"/>
            <w:gridSpan w:val="5"/>
            <w:noWrap w:val="0"/>
            <w:vAlign w:val="center"/>
          </w:tcPr>
          <w:p w14:paraId="4F7872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运营单位</w:t>
            </w:r>
            <w:r>
              <w:rPr>
                <w:rFonts w:hint="eastAsia"/>
                <w:b/>
                <w:color w:val="auto"/>
                <w:kern w:val="2"/>
                <w:sz w:val="15"/>
                <w:szCs w:val="15"/>
                <w:lang w:eastAsia="zh-CN"/>
              </w:rPr>
              <w:t>统一社会信用代码</w:t>
            </w:r>
            <w:r>
              <w:rPr>
                <w:rFonts w:hint="eastAsia"/>
                <w:b/>
                <w:color w:val="auto"/>
                <w:kern w:val="2"/>
                <w:sz w:val="15"/>
                <w:szCs w:val="15"/>
              </w:rPr>
              <w:t>（或组织机构代码）</w:t>
            </w:r>
          </w:p>
        </w:tc>
        <w:tc>
          <w:tcPr>
            <w:tcW w:w="1929" w:type="dxa"/>
            <w:noWrap w:val="0"/>
            <w:vAlign w:val="center"/>
          </w:tcPr>
          <w:p w14:paraId="43E861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b/>
                <w:color w:val="auto"/>
                <w:kern w:val="2"/>
                <w:sz w:val="15"/>
                <w:szCs w:val="15"/>
                <w:lang w:eastAsia="zh-CN"/>
              </w:rPr>
            </w:pPr>
            <w:r>
              <w:rPr>
                <w:rFonts w:hint="eastAsia"/>
                <w:color w:val="000000" w:themeColor="text1"/>
                <w:kern w:val="2"/>
                <w:sz w:val="15"/>
                <w:szCs w:val="15"/>
                <w:lang w:eastAsia="zh-CN"/>
                <w14:textFill>
                  <w14:solidFill>
                    <w14:schemeClr w14:val="tx1"/>
                  </w14:solidFill>
                </w14:textFill>
              </w:rPr>
              <w:t>91360983MADNNUJ93Q</w:t>
            </w:r>
          </w:p>
        </w:tc>
        <w:tc>
          <w:tcPr>
            <w:tcW w:w="1935" w:type="dxa"/>
            <w:gridSpan w:val="3"/>
            <w:noWrap w:val="0"/>
            <w:vAlign w:val="center"/>
          </w:tcPr>
          <w:p w14:paraId="63B24A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验收时间</w:t>
            </w:r>
          </w:p>
        </w:tc>
        <w:tc>
          <w:tcPr>
            <w:tcW w:w="2281" w:type="dxa"/>
            <w:gridSpan w:val="5"/>
            <w:noWrap w:val="0"/>
            <w:vAlign w:val="center"/>
          </w:tcPr>
          <w:p w14:paraId="520599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2345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restart"/>
            <w:noWrap w:val="0"/>
            <w:vAlign w:val="center"/>
          </w:tcPr>
          <w:p w14:paraId="7EE178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污染</w:t>
            </w:r>
          </w:p>
          <w:p w14:paraId="2A2466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物排</w:t>
            </w:r>
          </w:p>
          <w:p w14:paraId="5AF77E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放达</w:t>
            </w:r>
          </w:p>
          <w:p w14:paraId="2BF055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标与</w:t>
            </w:r>
          </w:p>
          <w:p w14:paraId="1AF826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总量</w:t>
            </w:r>
          </w:p>
          <w:p w14:paraId="4FEE4A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控制（工</w:t>
            </w:r>
          </w:p>
          <w:p w14:paraId="4E54A6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业建</w:t>
            </w:r>
          </w:p>
          <w:p w14:paraId="3D87C2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设项</w:t>
            </w:r>
          </w:p>
          <w:p w14:paraId="14A0F0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spacing w:val="20"/>
                <w:kern w:val="2"/>
                <w:sz w:val="15"/>
                <w:szCs w:val="15"/>
              </w:rPr>
            </w:pPr>
            <w:r>
              <w:rPr>
                <w:rFonts w:eastAsia="黑体"/>
                <w:b/>
                <w:color w:val="auto"/>
                <w:spacing w:val="20"/>
                <w:kern w:val="2"/>
                <w:sz w:val="15"/>
                <w:szCs w:val="15"/>
              </w:rPr>
              <w:t>目详填）</w:t>
            </w:r>
          </w:p>
        </w:tc>
        <w:tc>
          <w:tcPr>
            <w:tcW w:w="1844" w:type="dxa"/>
            <w:gridSpan w:val="2"/>
            <w:noWrap w:val="0"/>
            <w:vAlign w:val="center"/>
          </w:tcPr>
          <w:p w14:paraId="3D89EF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污染物</w:t>
            </w:r>
          </w:p>
        </w:tc>
        <w:tc>
          <w:tcPr>
            <w:tcW w:w="850" w:type="dxa"/>
            <w:noWrap w:val="0"/>
            <w:vAlign w:val="center"/>
          </w:tcPr>
          <w:p w14:paraId="581997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原有排</w:t>
            </w:r>
          </w:p>
          <w:p w14:paraId="54C7E3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放量</w:t>
            </w:r>
            <w:r>
              <w:rPr>
                <w:rFonts w:hint="eastAsia"/>
                <w:b/>
                <w:color w:val="auto"/>
                <w:kern w:val="2"/>
                <w:sz w:val="15"/>
                <w:szCs w:val="15"/>
                <w:lang w:eastAsia="zh-CN"/>
              </w:rPr>
              <w:t>（</w:t>
            </w:r>
            <w:r>
              <w:rPr>
                <w:b/>
                <w:color w:val="auto"/>
                <w:kern w:val="2"/>
                <w:sz w:val="15"/>
                <w:szCs w:val="15"/>
              </w:rPr>
              <w:t>1</w:t>
            </w:r>
            <w:r>
              <w:rPr>
                <w:rFonts w:hint="eastAsia"/>
                <w:b/>
                <w:color w:val="auto"/>
                <w:kern w:val="2"/>
                <w:sz w:val="15"/>
                <w:szCs w:val="15"/>
                <w:lang w:eastAsia="zh-CN"/>
              </w:rPr>
              <w:t>）</w:t>
            </w:r>
          </w:p>
        </w:tc>
        <w:tc>
          <w:tcPr>
            <w:tcW w:w="1418" w:type="dxa"/>
            <w:noWrap w:val="0"/>
            <w:vAlign w:val="center"/>
          </w:tcPr>
          <w:p w14:paraId="489145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本期工程实际排放浓度</w:t>
            </w:r>
            <w:r>
              <w:rPr>
                <w:rFonts w:hint="eastAsia"/>
                <w:b/>
                <w:color w:val="auto"/>
                <w:kern w:val="2"/>
                <w:sz w:val="15"/>
                <w:szCs w:val="15"/>
                <w:lang w:eastAsia="zh-CN"/>
              </w:rPr>
              <w:t>（</w:t>
            </w:r>
            <w:r>
              <w:rPr>
                <w:b/>
                <w:color w:val="auto"/>
                <w:kern w:val="2"/>
                <w:sz w:val="15"/>
                <w:szCs w:val="15"/>
              </w:rPr>
              <w:t>2</w:t>
            </w:r>
            <w:r>
              <w:rPr>
                <w:rFonts w:hint="eastAsia"/>
                <w:b/>
                <w:color w:val="auto"/>
                <w:kern w:val="2"/>
                <w:sz w:val="15"/>
                <w:szCs w:val="15"/>
                <w:lang w:eastAsia="zh-CN"/>
              </w:rPr>
              <w:t>）</w:t>
            </w:r>
          </w:p>
        </w:tc>
        <w:tc>
          <w:tcPr>
            <w:tcW w:w="1127" w:type="dxa"/>
            <w:noWrap w:val="0"/>
            <w:vAlign w:val="center"/>
          </w:tcPr>
          <w:p w14:paraId="6E42B5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本期工程允许排放浓度</w:t>
            </w:r>
            <w:r>
              <w:rPr>
                <w:rFonts w:hint="eastAsia"/>
                <w:b/>
                <w:color w:val="auto"/>
                <w:kern w:val="2"/>
                <w:sz w:val="15"/>
                <w:szCs w:val="15"/>
                <w:lang w:eastAsia="zh-CN"/>
              </w:rPr>
              <w:t>（</w:t>
            </w:r>
            <w:r>
              <w:rPr>
                <w:b/>
                <w:color w:val="auto"/>
                <w:kern w:val="2"/>
                <w:sz w:val="15"/>
                <w:szCs w:val="15"/>
              </w:rPr>
              <w:t>3</w:t>
            </w:r>
            <w:r>
              <w:rPr>
                <w:rFonts w:hint="eastAsia"/>
                <w:b/>
                <w:color w:val="auto"/>
                <w:kern w:val="2"/>
                <w:sz w:val="15"/>
                <w:szCs w:val="15"/>
                <w:lang w:eastAsia="zh-CN"/>
              </w:rPr>
              <w:t>）</w:t>
            </w:r>
          </w:p>
        </w:tc>
        <w:tc>
          <w:tcPr>
            <w:tcW w:w="1020" w:type="dxa"/>
            <w:gridSpan w:val="2"/>
            <w:noWrap w:val="0"/>
            <w:vAlign w:val="center"/>
          </w:tcPr>
          <w:p w14:paraId="494836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本期工程产生量</w:t>
            </w:r>
            <w:r>
              <w:rPr>
                <w:rFonts w:hint="eastAsia"/>
                <w:b/>
                <w:color w:val="auto"/>
                <w:kern w:val="2"/>
                <w:sz w:val="15"/>
                <w:szCs w:val="15"/>
                <w:lang w:eastAsia="zh-CN"/>
              </w:rPr>
              <w:t>（</w:t>
            </w:r>
            <w:r>
              <w:rPr>
                <w:b/>
                <w:color w:val="auto"/>
                <w:kern w:val="2"/>
                <w:sz w:val="15"/>
                <w:szCs w:val="15"/>
              </w:rPr>
              <w:t>4</w:t>
            </w:r>
            <w:r>
              <w:rPr>
                <w:rFonts w:hint="eastAsia"/>
                <w:b/>
                <w:color w:val="auto"/>
                <w:kern w:val="2"/>
                <w:sz w:val="15"/>
                <w:szCs w:val="15"/>
                <w:lang w:eastAsia="zh-CN"/>
              </w:rPr>
              <w:t>）</w:t>
            </w:r>
          </w:p>
        </w:tc>
        <w:tc>
          <w:tcPr>
            <w:tcW w:w="1128" w:type="dxa"/>
            <w:gridSpan w:val="2"/>
            <w:noWrap w:val="0"/>
            <w:vAlign w:val="center"/>
          </w:tcPr>
          <w:p w14:paraId="249DB1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本期工程自身削减量</w:t>
            </w:r>
            <w:r>
              <w:rPr>
                <w:rFonts w:hint="eastAsia"/>
                <w:b/>
                <w:color w:val="auto"/>
                <w:kern w:val="2"/>
                <w:sz w:val="15"/>
                <w:szCs w:val="15"/>
                <w:lang w:eastAsia="zh-CN"/>
              </w:rPr>
              <w:t>（</w:t>
            </w:r>
            <w:r>
              <w:rPr>
                <w:b/>
                <w:color w:val="auto"/>
                <w:kern w:val="2"/>
                <w:sz w:val="15"/>
                <w:szCs w:val="15"/>
              </w:rPr>
              <w:t>5</w:t>
            </w:r>
            <w:r>
              <w:rPr>
                <w:rFonts w:hint="eastAsia"/>
                <w:b/>
                <w:color w:val="auto"/>
                <w:kern w:val="2"/>
                <w:sz w:val="15"/>
                <w:szCs w:val="15"/>
                <w:lang w:eastAsia="zh-CN"/>
              </w:rPr>
              <w:t>）</w:t>
            </w:r>
          </w:p>
        </w:tc>
        <w:tc>
          <w:tcPr>
            <w:tcW w:w="1079" w:type="dxa"/>
            <w:noWrap w:val="0"/>
            <w:vAlign w:val="center"/>
          </w:tcPr>
          <w:p w14:paraId="72F2CF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本期工程实际排放量</w:t>
            </w:r>
            <w:r>
              <w:rPr>
                <w:rFonts w:hint="eastAsia"/>
                <w:b/>
                <w:color w:val="auto"/>
                <w:kern w:val="2"/>
                <w:sz w:val="15"/>
                <w:szCs w:val="15"/>
                <w:lang w:eastAsia="zh-CN"/>
              </w:rPr>
              <w:t>（</w:t>
            </w:r>
            <w:r>
              <w:rPr>
                <w:b/>
                <w:color w:val="auto"/>
                <w:kern w:val="2"/>
                <w:sz w:val="15"/>
                <w:szCs w:val="15"/>
              </w:rPr>
              <w:t>6</w:t>
            </w:r>
            <w:r>
              <w:rPr>
                <w:rFonts w:hint="eastAsia"/>
                <w:b/>
                <w:color w:val="auto"/>
                <w:kern w:val="2"/>
                <w:sz w:val="15"/>
                <w:szCs w:val="15"/>
                <w:lang w:eastAsia="zh-CN"/>
              </w:rPr>
              <w:t>）</w:t>
            </w:r>
          </w:p>
        </w:tc>
        <w:tc>
          <w:tcPr>
            <w:tcW w:w="1086" w:type="dxa"/>
            <w:noWrap w:val="0"/>
            <w:vAlign w:val="center"/>
          </w:tcPr>
          <w:p w14:paraId="4C7C58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本期工程核定排放总量</w:t>
            </w:r>
            <w:r>
              <w:rPr>
                <w:rFonts w:hint="eastAsia"/>
                <w:b/>
                <w:color w:val="auto"/>
                <w:kern w:val="2"/>
                <w:sz w:val="15"/>
                <w:szCs w:val="15"/>
                <w:lang w:eastAsia="zh-CN"/>
              </w:rPr>
              <w:t>（</w:t>
            </w:r>
            <w:r>
              <w:rPr>
                <w:b/>
                <w:color w:val="auto"/>
                <w:kern w:val="2"/>
                <w:sz w:val="15"/>
                <w:szCs w:val="15"/>
              </w:rPr>
              <w:t>7</w:t>
            </w:r>
            <w:r>
              <w:rPr>
                <w:rFonts w:hint="eastAsia"/>
                <w:b/>
                <w:color w:val="auto"/>
                <w:kern w:val="2"/>
                <w:sz w:val="15"/>
                <w:szCs w:val="15"/>
                <w:lang w:eastAsia="zh-CN"/>
              </w:rPr>
              <w:t>）</w:t>
            </w:r>
          </w:p>
        </w:tc>
        <w:tc>
          <w:tcPr>
            <w:tcW w:w="1929" w:type="dxa"/>
            <w:noWrap w:val="0"/>
            <w:vAlign w:val="center"/>
          </w:tcPr>
          <w:p w14:paraId="0F3E4E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本期工程“以新带老”削减量</w:t>
            </w:r>
            <w:r>
              <w:rPr>
                <w:rFonts w:hint="eastAsia"/>
                <w:b/>
                <w:color w:val="auto"/>
                <w:kern w:val="2"/>
                <w:sz w:val="15"/>
                <w:szCs w:val="15"/>
                <w:lang w:eastAsia="zh-CN"/>
              </w:rPr>
              <w:t>（</w:t>
            </w:r>
            <w:r>
              <w:rPr>
                <w:b/>
                <w:color w:val="auto"/>
                <w:kern w:val="2"/>
                <w:sz w:val="15"/>
                <w:szCs w:val="15"/>
              </w:rPr>
              <w:t>8</w:t>
            </w:r>
            <w:r>
              <w:rPr>
                <w:rFonts w:hint="eastAsia"/>
                <w:b/>
                <w:color w:val="auto"/>
                <w:kern w:val="2"/>
                <w:sz w:val="15"/>
                <w:szCs w:val="15"/>
                <w:lang w:eastAsia="zh-CN"/>
              </w:rPr>
              <w:t>）</w:t>
            </w:r>
          </w:p>
        </w:tc>
        <w:tc>
          <w:tcPr>
            <w:tcW w:w="991" w:type="dxa"/>
            <w:noWrap w:val="0"/>
            <w:vAlign w:val="center"/>
          </w:tcPr>
          <w:p w14:paraId="1A43BB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全厂实际排放总量</w:t>
            </w:r>
            <w:r>
              <w:rPr>
                <w:rFonts w:hint="eastAsia"/>
                <w:b/>
                <w:color w:val="auto"/>
                <w:kern w:val="2"/>
                <w:sz w:val="15"/>
                <w:szCs w:val="15"/>
                <w:lang w:eastAsia="zh-CN"/>
              </w:rPr>
              <w:t>（</w:t>
            </w:r>
            <w:r>
              <w:rPr>
                <w:b/>
                <w:color w:val="auto"/>
                <w:kern w:val="2"/>
                <w:sz w:val="15"/>
                <w:szCs w:val="15"/>
              </w:rPr>
              <w:t>9</w:t>
            </w:r>
            <w:r>
              <w:rPr>
                <w:rFonts w:hint="eastAsia"/>
                <w:b/>
                <w:color w:val="auto"/>
                <w:kern w:val="2"/>
                <w:sz w:val="15"/>
                <w:szCs w:val="15"/>
                <w:lang w:eastAsia="zh-CN"/>
              </w:rPr>
              <w:t>）</w:t>
            </w:r>
          </w:p>
        </w:tc>
        <w:tc>
          <w:tcPr>
            <w:tcW w:w="1279" w:type="dxa"/>
            <w:gridSpan w:val="3"/>
            <w:noWrap w:val="0"/>
            <w:vAlign w:val="center"/>
          </w:tcPr>
          <w:p w14:paraId="33B2C9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全厂核定排放总量</w:t>
            </w:r>
            <w:r>
              <w:rPr>
                <w:rFonts w:hint="eastAsia"/>
                <w:b/>
                <w:color w:val="auto"/>
                <w:kern w:val="2"/>
                <w:sz w:val="15"/>
                <w:szCs w:val="15"/>
                <w:lang w:eastAsia="zh-CN"/>
              </w:rPr>
              <w:t>（</w:t>
            </w:r>
            <w:r>
              <w:rPr>
                <w:b/>
                <w:color w:val="auto"/>
                <w:kern w:val="2"/>
                <w:sz w:val="15"/>
                <w:szCs w:val="15"/>
              </w:rPr>
              <w:t>10</w:t>
            </w:r>
            <w:r>
              <w:rPr>
                <w:rFonts w:hint="eastAsia"/>
                <w:b/>
                <w:color w:val="auto"/>
                <w:kern w:val="2"/>
                <w:sz w:val="15"/>
                <w:szCs w:val="15"/>
                <w:lang w:eastAsia="zh-CN"/>
              </w:rPr>
              <w:t>）</w:t>
            </w:r>
          </w:p>
        </w:tc>
        <w:tc>
          <w:tcPr>
            <w:tcW w:w="1133" w:type="dxa"/>
            <w:gridSpan w:val="2"/>
            <w:noWrap w:val="0"/>
            <w:vAlign w:val="center"/>
          </w:tcPr>
          <w:p w14:paraId="77D66C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区域平衡替代削减量</w:t>
            </w:r>
            <w:r>
              <w:rPr>
                <w:rFonts w:hint="eastAsia"/>
                <w:b/>
                <w:color w:val="auto"/>
                <w:kern w:val="2"/>
                <w:sz w:val="15"/>
                <w:szCs w:val="15"/>
                <w:lang w:eastAsia="zh-CN"/>
              </w:rPr>
              <w:t>（</w:t>
            </w:r>
            <w:r>
              <w:rPr>
                <w:b/>
                <w:color w:val="auto"/>
                <w:kern w:val="2"/>
                <w:sz w:val="15"/>
                <w:szCs w:val="15"/>
              </w:rPr>
              <w:t>11</w:t>
            </w:r>
            <w:r>
              <w:rPr>
                <w:rFonts w:hint="eastAsia"/>
                <w:b/>
                <w:color w:val="auto"/>
                <w:kern w:val="2"/>
                <w:sz w:val="15"/>
                <w:szCs w:val="15"/>
                <w:lang w:eastAsia="zh-CN"/>
              </w:rPr>
              <w:t>）</w:t>
            </w:r>
          </w:p>
        </w:tc>
        <w:tc>
          <w:tcPr>
            <w:tcW w:w="813" w:type="dxa"/>
            <w:gridSpan w:val="2"/>
            <w:noWrap w:val="0"/>
            <w:vAlign w:val="center"/>
          </w:tcPr>
          <w:p w14:paraId="5824BD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排放增减量</w:t>
            </w:r>
            <w:r>
              <w:rPr>
                <w:rFonts w:hint="eastAsia"/>
                <w:b/>
                <w:color w:val="auto"/>
                <w:kern w:val="2"/>
                <w:sz w:val="15"/>
                <w:szCs w:val="15"/>
                <w:lang w:eastAsia="zh-CN"/>
              </w:rPr>
              <w:t>（</w:t>
            </w:r>
            <w:r>
              <w:rPr>
                <w:b/>
                <w:color w:val="auto"/>
                <w:kern w:val="2"/>
                <w:sz w:val="15"/>
                <w:szCs w:val="15"/>
              </w:rPr>
              <w:t>12</w:t>
            </w:r>
            <w:r>
              <w:rPr>
                <w:rFonts w:hint="eastAsia"/>
                <w:b/>
                <w:color w:val="auto"/>
                <w:kern w:val="2"/>
                <w:sz w:val="15"/>
                <w:szCs w:val="15"/>
                <w:lang w:eastAsia="zh-CN"/>
              </w:rPr>
              <w:t>）</w:t>
            </w:r>
          </w:p>
        </w:tc>
      </w:tr>
      <w:tr w14:paraId="7DCB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6F6411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542E60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rFonts w:eastAsia="黑体"/>
                <w:b/>
                <w:color w:val="auto"/>
                <w:kern w:val="2"/>
                <w:sz w:val="15"/>
                <w:szCs w:val="15"/>
              </w:rPr>
              <w:t>废水</w:t>
            </w:r>
          </w:p>
        </w:tc>
        <w:tc>
          <w:tcPr>
            <w:tcW w:w="850" w:type="dxa"/>
            <w:noWrap w:val="0"/>
            <w:vAlign w:val="center"/>
          </w:tcPr>
          <w:p w14:paraId="1EC92B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418" w:type="dxa"/>
            <w:noWrap w:val="0"/>
            <w:vAlign w:val="center"/>
          </w:tcPr>
          <w:p w14:paraId="74F0DE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1C7F39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7AA039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8" w:type="dxa"/>
            <w:gridSpan w:val="2"/>
            <w:noWrap w:val="0"/>
            <w:vAlign w:val="center"/>
          </w:tcPr>
          <w:p w14:paraId="1AFB18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700BE2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628095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262796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191649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788765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282E7F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01FA80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1676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614" w:type="dxa"/>
            <w:gridSpan w:val="2"/>
            <w:vMerge w:val="continue"/>
            <w:noWrap w:val="0"/>
            <w:vAlign w:val="center"/>
          </w:tcPr>
          <w:p w14:paraId="5AA3F6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639D95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化学需氧量</w:t>
            </w:r>
          </w:p>
        </w:tc>
        <w:tc>
          <w:tcPr>
            <w:tcW w:w="850" w:type="dxa"/>
            <w:noWrap w:val="0"/>
            <w:vAlign w:val="center"/>
          </w:tcPr>
          <w:p w14:paraId="31F714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418" w:type="dxa"/>
            <w:noWrap w:val="0"/>
            <w:vAlign w:val="center"/>
          </w:tcPr>
          <w:p w14:paraId="730ECE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7" w:type="dxa"/>
            <w:noWrap w:val="0"/>
            <w:vAlign w:val="center"/>
          </w:tcPr>
          <w:p w14:paraId="6ECB54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20" w:type="dxa"/>
            <w:gridSpan w:val="2"/>
            <w:noWrap w:val="0"/>
            <w:vAlign w:val="center"/>
          </w:tcPr>
          <w:p w14:paraId="725214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8" w:type="dxa"/>
            <w:gridSpan w:val="2"/>
            <w:noWrap w:val="0"/>
            <w:vAlign w:val="center"/>
          </w:tcPr>
          <w:p w14:paraId="7A7FD1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5111C1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86" w:type="dxa"/>
            <w:noWrap w:val="0"/>
            <w:vAlign w:val="center"/>
          </w:tcPr>
          <w:p w14:paraId="4B9960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929" w:type="dxa"/>
            <w:noWrap w:val="0"/>
            <w:vAlign w:val="center"/>
          </w:tcPr>
          <w:p w14:paraId="1D7218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54ED7B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7154D9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64F5F3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5101E4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155A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B0A37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258DAC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氨氮</w:t>
            </w:r>
          </w:p>
        </w:tc>
        <w:tc>
          <w:tcPr>
            <w:tcW w:w="850" w:type="dxa"/>
            <w:noWrap w:val="0"/>
            <w:vAlign w:val="center"/>
          </w:tcPr>
          <w:p w14:paraId="4492C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5D6C9D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7" w:type="dxa"/>
            <w:noWrap w:val="0"/>
            <w:vAlign w:val="center"/>
          </w:tcPr>
          <w:p w14:paraId="5B38E6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20" w:type="dxa"/>
            <w:gridSpan w:val="2"/>
            <w:noWrap w:val="0"/>
            <w:vAlign w:val="center"/>
          </w:tcPr>
          <w:p w14:paraId="040150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8" w:type="dxa"/>
            <w:gridSpan w:val="2"/>
            <w:noWrap w:val="0"/>
            <w:vAlign w:val="center"/>
          </w:tcPr>
          <w:p w14:paraId="28219D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6C662C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86" w:type="dxa"/>
            <w:noWrap w:val="0"/>
            <w:vAlign w:val="center"/>
          </w:tcPr>
          <w:p w14:paraId="62A997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929" w:type="dxa"/>
            <w:noWrap w:val="0"/>
            <w:vAlign w:val="center"/>
          </w:tcPr>
          <w:p w14:paraId="53FADD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2FF4CB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115C7D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088FCC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7AF6D7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3335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E2082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790FCC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b/>
                <w:color w:val="auto"/>
                <w:kern w:val="2"/>
                <w:sz w:val="15"/>
                <w:szCs w:val="15"/>
                <w:lang w:eastAsia="zh-CN"/>
              </w:rPr>
            </w:pPr>
            <w:r>
              <w:rPr>
                <w:rFonts w:hint="eastAsia"/>
                <w:b/>
                <w:color w:val="auto"/>
                <w:kern w:val="2"/>
                <w:sz w:val="15"/>
                <w:szCs w:val="15"/>
                <w:lang w:eastAsia="zh-CN"/>
              </w:rPr>
              <w:t>石油类</w:t>
            </w:r>
          </w:p>
        </w:tc>
        <w:tc>
          <w:tcPr>
            <w:tcW w:w="850" w:type="dxa"/>
            <w:noWrap w:val="0"/>
            <w:vAlign w:val="center"/>
          </w:tcPr>
          <w:p w14:paraId="336E76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57084E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127" w:type="dxa"/>
            <w:noWrap w:val="0"/>
            <w:vAlign w:val="center"/>
          </w:tcPr>
          <w:p w14:paraId="1E3D97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020" w:type="dxa"/>
            <w:gridSpan w:val="2"/>
            <w:noWrap w:val="0"/>
            <w:vAlign w:val="center"/>
          </w:tcPr>
          <w:p w14:paraId="729197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128" w:type="dxa"/>
            <w:gridSpan w:val="2"/>
            <w:noWrap w:val="0"/>
            <w:vAlign w:val="center"/>
          </w:tcPr>
          <w:p w14:paraId="014B36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079" w:type="dxa"/>
            <w:noWrap w:val="0"/>
            <w:vAlign w:val="center"/>
          </w:tcPr>
          <w:p w14:paraId="58B41E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086" w:type="dxa"/>
            <w:noWrap w:val="0"/>
            <w:vAlign w:val="center"/>
          </w:tcPr>
          <w:p w14:paraId="3710EC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34204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0681F0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052269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4FDFF1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41C289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7AF6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 w:hRule="atLeast"/>
          <w:jc w:val="center"/>
        </w:trPr>
        <w:tc>
          <w:tcPr>
            <w:tcW w:w="614" w:type="dxa"/>
            <w:gridSpan w:val="2"/>
            <w:vMerge w:val="continue"/>
            <w:noWrap w:val="0"/>
            <w:vAlign w:val="center"/>
          </w:tcPr>
          <w:p w14:paraId="03F3EE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3528B3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kern w:val="2"/>
                <w:sz w:val="15"/>
                <w:szCs w:val="15"/>
              </w:rPr>
            </w:pPr>
            <w:r>
              <w:rPr>
                <w:rFonts w:eastAsia="黑体"/>
                <w:b/>
                <w:color w:val="auto"/>
                <w:kern w:val="2"/>
                <w:sz w:val="15"/>
                <w:szCs w:val="15"/>
              </w:rPr>
              <w:t>废气</w:t>
            </w:r>
          </w:p>
        </w:tc>
        <w:tc>
          <w:tcPr>
            <w:tcW w:w="850" w:type="dxa"/>
            <w:noWrap w:val="0"/>
            <w:vAlign w:val="center"/>
          </w:tcPr>
          <w:p w14:paraId="137309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4F203F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127" w:type="dxa"/>
            <w:noWrap w:val="0"/>
            <w:vAlign w:val="center"/>
          </w:tcPr>
          <w:p w14:paraId="381133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020" w:type="dxa"/>
            <w:gridSpan w:val="2"/>
            <w:noWrap w:val="0"/>
            <w:vAlign w:val="center"/>
          </w:tcPr>
          <w:p w14:paraId="414781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128" w:type="dxa"/>
            <w:gridSpan w:val="2"/>
            <w:noWrap w:val="0"/>
            <w:vAlign w:val="center"/>
          </w:tcPr>
          <w:p w14:paraId="29DAB0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079" w:type="dxa"/>
            <w:noWrap w:val="0"/>
            <w:vAlign w:val="center"/>
          </w:tcPr>
          <w:p w14:paraId="09E52D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086" w:type="dxa"/>
            <w:noWrap w:val="0"/>
            <w:vAlign w:val="center"/>
          </w:tcPr>
          <w:p w14:paraId="371082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289833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5D56F9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7A3BD9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46ED65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6B9862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1317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614" w:type="dxa"/>
            <w:gridSpan w:val="2"/>
            <w:vMerge w:val="continue"/>
            <w:noWrap w:val="0"/>
            <w:vAlign w:val="center"/>
          </w:tcPr>
          <w:p w14:paraId="1F10B4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0D7E1B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二氧化硫</w:t>
            </w:r>
          </w:p>
        </w:tc>
        <w:tc>
          <w:tcPr>
            <w:tcW w:w="850" w:type="dxa"/>
            <w:noWrap w:val="0"/>
            <w:vAlign w:val="center"/>
          </w:tcPr>
          <w:p w14:paraId="1475F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7F9246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7" w:type="dxa"/>
            <w:noWrap w:val="0"/>
            <w:vAlign w:val="center"/>
          </w:tcPr>
          <w:p w14:paraId="6A347C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20" w:type="dxa"/>
            <w:gridSpan w:val="2"/>
            <w:noWrap w:val="0"/>
            <w:vAlign w:val="center"/>
          </w:tcPr>
          <w:p w14:paraId="16D8C5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8" w:type="dxa"/>
            <w:gridSpan w:val="2"/>
            <w:noWrap w:val="0"/>
            <w:vAlign w:val="center"/>
          </w:tcPr>
          <w:p w14:paraId="1DE79D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val="en-US" w:eastAsia="zh-CN"/>
              </w:rPr>
            </w:pPr>
          </w:p>
        </w:tc>
        <w:tc>
          <w:tcPr>
            <w:tcW w:w="1079" w:type="dxa"/>
            <w:noWrap w:val="0"/>
            <w:vAlign w:val="center"/>
          </w:tcPr>
          <w:p w14:paraId="17964B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86" w:type="dxa"/>
            <w:noWrap w:val="0"/>
            <w:vAlign w:val="center"/>
          </w:tcPr>
          <w:p w14:paraId="3F2F6201">
            <w:pPr>
              <w:adjustRightInd w:val="0"/>
              <w:snapToGrid w:val="0"/>
              <w:spacing w:line="240" w:lineRule="auto"/>
              <w:jc w:val="center"/>
              <w:rPr>
                <w:rFonts w:hint="default" w:eastAsia="宋体"/>
                <w:color w:val="auto"/>
                <w:kern w:val="2"/>
                <w:sz w:val="15"/>
                <w:szCs w:val="15"/>
                <w:lang w:val="en-US" w:eastAsia="zh-CN"/>
              </w:rPr>
            </w:pPr>
          </w:p>
        </w:tc>
        <w:tc>
          <w:tcPr>
            <w:tcW w:w="1929" w:type="dxa"/>
            <w:noWrap w:val="0"/>
            <w:vAlign w:val="center"/>
          </w:tcPr>
          <w:p w14:paraId="0D84DE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991" w:type="dxa"/>
            <w:noWrap w:val="0"/>
            <w:vAlign w:val="center"/>
          </w:tcPr>
          <w:p w14:paraId="5E9BF1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lang w:val="en-US"/>
              </w:rPr>
            </w:pPr>
          </w:p>
        </w:tc>
        <w:tc>
          <w:tcPr>
            <w:tcW w:w="1279" w:type="dxa"/>
            <w:gridSpan w:val="3"/>
            <w:noWrap w:val="0"/>
            <w:vAlign w:val="center"/>
          </w:tcPr>
          <w:p w14:paraId="7FC0FDB4">
            <w:pPr>
              <w:adjustRightInd w:val="0"/>
              <w:snapToGrid w:val="0"/>
              <w:spacing w:line="240" w:lineRule="auto"/>
              <w:jc w:val="center"/>
              <w:rPr>
                <w:color w:val="FF0000"/>
                <w:kern w:val="2"/>
                <w:sz w:val="15"/>
                <w:szCs w:val="15"/>
              </w:rPr>
            </w:pPr>
          </w:p>
        </w:tc>
        <w:tc>
          <w:tcPr>
            <w:tcW w:w="1133" w:type="dxa"/>
            <w:gridSpan w:val="2"/>
            <w:noWrap w:val="0"/>
            <w:vAlign w:val="center"/>
          </w:tcPr>
          <w:p w14:paraId="6FC4D7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outlineLvl w:val="9"/>
              <w:rPr>
                <w:color w:val="auto"/>
                <w:kern w:val="2"/>
                <w:sz w:val="15"/>
                <w:szCs w:val="15"/>
              </w:rPr>
            </w:pPr>
          </w:p>
        </w:tc>
        <w:tc>
          <w:tcPr>
            <w:tcW w:w="813" w:type="dxa"/>
            <w:gridSpan w:val="2"/>
            <w:noWrap w:val="0"/>
            <w:vAlign w:val="center"/>
          </w:tcPr>
          <w:p w14:paraId="4E1A08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outlineLvl w:val="9"/>
              <w:rPr>
                <w:color w:val="auto"/>
                <w:kern w:val="2"/>
                <w:sz w:val="15"/>
                <w:szCs w:val="15"/>
              </w:rPr>
            </w:pPr>
          </w:p>
        </w:tc>
      </w:tr>
      <w:tr w14:paraId="627B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614" w:type="dxa"/>
            <w:gridSpan w:val="2"/>
            <w:vMerge w:val="continue"/>
            <w:noWrap w:val="0"/>
            <w:vAlign w:val="center"/>
          </w:tcPr>
          <w:p w14:paraId="619815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331943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烟尘</w:t>
            </w:r>
          </w:p>
        </w:tc>
        <w:tc>
          <w:tcPr>
            <w:tcW w:w="850" w:type="dxa"/>
            <w:noWrap w:val="0"/>
            <w:vAlign w:val="center"/>
          </w:tcPr>
          <w:p w14:paraId="28B138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5C163A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0D03FD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4C9F8E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72658A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1BF137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6067BBE0">
            <w:pPr>
              <w:adjustRightInd w:val="0"/>
              <w:snapToGrid w:val="0"/>
              <w:spacing w:line="240" w:lineRule="auto"/>
              <w:jc w:val="center"/>
              <w:rPr>
                <w:color w:val="auto"/>
                <w:kern w:val="2"/>
                <w:sz w:val="15"/>
                <w:szCs w:val="15"/>
              </w:rPr>
            </w:pPr>
          </w:p>
        </w:tc>
        <w:tc>
          <w:tcPr>
            <w:tcW w:w="1929" w:type="dxa"/>
            <w:noWrap w:val="0"/>
            <w:vAlign w:val="center"/>
          </w:tcPr>
          <w:p w14:paraId="1FB1AD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991" w:type="dxa"/>
            <w:noWrap w:val="0"/>
            <w:vAlign w:val="center"/>
          </w:tcPr>
          <w:p w14:paraId="48A647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279" w:type="dxa"/>
            <w:gridSpan w:val="3"/>
            <w:noWrap w:val="0"/>
            <w:vAlign w:val="center"/>
          </w:tcPr>
          <w:p w14:paraId="4910EF46">
            <w:pPr>
              <w:adjustRightInd w:val="0"/>
              <w:snapToGrid w:val="0"/>
              <w:spacing w:line="240" w:lineRule="auto"/>
              <w:jc w:val="center"/>
              <w:rPr>
                <w:color w:val="FF0000"/>
                <w:kern w:val="2"/>
                <w:sz w:val="15"/>
                <w:szCs w:val="15"/>
              </w:rPr>
            </w:pPr>
          </w:p>
        </w:tc>
        <w:tc>
          <w:tcPr>
            <w:tcW w:w="1133" w:type="dxa"/>
            <w:gridSpan w:val="2"/>
            <w:noWrap w:val="0"/>
            <w:vAlign w:val="center"/>
          </w:tcPr>
          <w:p w14:paraId="6521A0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outlineLvl w:val="9"/>
              <w:rPr>
                <w:color w:val="auto"/>
                <w:kern w:val="2"/>
                <w:sz w:val="15"/>
                <w:szCs w:val="15"/>
              </w:rPr>
            </w:pPr>
          </w:p>
        </w:tc>
        <w:tc>
          <w:tcPr>
            <w:tcW w:w="813" w:type="dxa"/>
            <w:gridSpan w:val="2"/>
            <w:noWrap w:val="0"/>
            <w:vAlign w:val="center"/>
          </w:tcPr>
          <w:p w14:paraId="32F942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outlineLvl w:val="9"/>
              <w:rPr>
                <w:color w:val="auto"/>
                <w:kern w:val="2"/>
                <w:sz w:val="15"/>
                <w:szCs w:val="15"/>
              </w:rPr>
            </w:pPr>
          </w:p>
        </w:tc>
      </w:tr>
      <w:tr w14:paraId="32EE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614" w:type="dxa"/>
            <w:gridSpan w:val="2"/>
            <w:vMerge w:val="continue"/>
            <w:noWrap w:val="0"/>
            <w:vAlign w:val="center"/>
          </w:tcPr>
          <w:p w14:paraId="270DAA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153D32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工业粉尘</w:t>
            </w:r>
          </w:p>
        </w:tc>
        <w:tc>
          <w:tcPr>
            <w:tcW w:w="850" w:type="dxa"/>
            <w:noWrap w:val="0"/>
            <w:vAlign w:val="center"/>
          </w:tcPr>
          <w:p w14:paraId="27D8BE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26A9F4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7113D5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47D863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3112F1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47A340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4EB8C0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414801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991" w:type="dxa"/>
            <w:noWrap w:val="0"/>
            <w:vAlign w:val="center"/>
          </w:tcPr>
          <w:p w14:paraId="146D33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279" w:type="dxa"/>
            <w:gridSpan w:val="3"/>
            <w:noWrap w:val="0"/>
            <w:vAlign w:val="center"/>
          </w:tcPr>
          <w:p w14:paraId="383228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133" w:type="dxa"/>
            <w:gridSpan w:val="2"/>
            <w:noWrap w:val="0"/>
            <w:vAlign w:val="center"/>
          </w:tcPr>
          <w:p w14:paraId="79D817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5EA724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2CC1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614" w:type="dxa"/>
            <w:gridSpan w:val="2"/>
            <w:vMerge w:val="continue"/>
            <w:noWrap w:val="0"/>
            <w:vAlign w:val="center"/>
          </w:tcPr>
          <w:p w14:paraId="29FD00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19FA32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r>
              <w:rPr>
                <w:b/>
                <w:color w:val="auto"/>
                <w:kern w:val="2"/>
                <w:sz w:val="15"/>
                <w:szCs w:val="15"/>
              </w:rPr>
              <w:t>氮氧化物</w:t>
            </w:r>
          </w:p>
        </w:tc>
        <w:tc>
          <w:tcPr>
            <w:tcW w:w="850" w:type="dxa"/>
            <w:noWrap w:val="0"/>
            <w:vAlign w:val="center"/>
          </w:tcPr>
          <w:p w14:paraId="7A9362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2350DA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7" w:type="dxa"/>
            <w:noWrap w:val="0"/>
            <w:vAlign w:val="center"/>
          </w:tcPr>
          <w:p w14:paraId="41C699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20" w:type="dxa"/>
            <w:gridSpan w:val="2"/>
            <w:noWrap w:val="0"/>
            <w:vAlign w:val="center"/>
          </w:tcPr>
          <w:p w14:paraId="474A9C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128" w:type="dxa"/>
            <w:gridSpan w:val="2"/>
            <w:noWrap w:val="0"/>
            <w:vAlign w:val="center"/>
          </w:tcPr>
          <w:p w14:paraId="7704AC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eastAsia="宋体"/>
                <w:color w:val="auto"/>
                <w:kern w:val="2"/>
                <w:sz w:val="15"/>
                <w:szCs w:val="15"/>
                <w:lang w:val="en-US" w:eastAsia="zh-CN"/>
              </w:rPr>
            </w:pPr>
          </w:p>
        </w:tc>
        <w:tc>
          <w:tcPr>
            <w:tcW w:w="1079" w:type="dxa"/>
            <w:noWrap w:val="0"/>
            <w:vAlign w:val="center"/>
          </w:tcPr>
          <w:p w14:paraId="04D718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086" w:type="dxa"/>
            <w:noWrap w:val="0"/>
            <w:vAlign w:val="center"/>
          </w:tcPr>
          <w:p w14:paraId="1A8E10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eastAsia="宋体"/>
                <w:color w:val="auto"/>
                <w:kern w:val="2"/>
                <w:sz w:val="15"/>
                <w:szCs w:val="15"/>
                <w:lang w:val="en-US" w:eastAsia="zh-CN"/>
              </w:rPr>
            </w:pPr>
          </w:p>
        </w:tc>
        <w:tc>
          <w:tcPr>
            <w:tcW w:w="1929" w:type="dxa"/>
            <w:noWrap w:val="0"/>
            <w:vAlign w:val="center"/>
          </w:tcPr>
          <w:p w14:paraId="2EEC11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991" w:type="dxa"/>
            <w:noWrap w:val="0"/>
            <w:vAlign w:val="center"/>
          </w:tcPr>
          <w:p w14:paraId="165594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lang w:val="en-US"/>
              </w:rPr>
            </w:pPr>
          </w:p>
        </w:tc>
        <w:tc>
          <w:tcPr>
            <w:tcW w:w="1279" w:type="dxa"/>
            <w:gridSpan w:val="3"/>
            <w:noWrap w:val="0"/>
            <w:vAlign w:val="center"/>
          </w:tcPr>
          <w:p w14:paraId="5DD7A1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133" w:type="dxa"/>
            <w:gridSpan w:val="2"/>
            <w:noWrap w:val="0"/>
            <w:vAlign w:val="center"/>
          </w:tcPr>
          <w:p w14:paraId="1CFD1B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outlineLvl w:val="9"/>
              <w:rPr>
                <w:color w:val="auto"/>
                <w:kern w:val="2"/>
                <w:sz w:val="15"/>
                <w:szCs w:val="15"/>
              </w:rPr>
            </w:pPr>
          </w:p>
        </w:tc>
        <w:tc>
          <w:tcPr>
            <w:tcW w:w="813" w:type="dxa"/>
            <w:gridSpan w:val="2"/>
            <w:noWrap w:val="0"/>
            <w:vAlign w:val="center"/>
          </w:tcPr>
          <w:p w14:paraId="0BDDA7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outlineLvl w:val="9"/>
              <w:rPr>
                <w:color w:val="auto"/>
                <w:kern w:val="2"/>
                <w:sz w:val="15"/>
                <w:szCs w:val="15"/>
              </w:rPr>
            </w:pPr>
          </w:p>
        </w:tc>
      </w:tr>
      <w:tr w14:paraId="5B89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614" w:type="dxa"/>
            <w:gridSpan w:val="2"/>
            <w:vMerge w:val="continue"/>
            <w:noWrap w:val="0"/>
            <w:vAlign w:val="center"/>
          </w:tcPr>
          <w:p w14:paraId="64888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844" w:type="dxa"/>
            <w:gridSpan w:val="2"/>
            <w:noWrap w:val="0"/>
            <w:vAlign w:val="center"/>
          </w:tcPr>
          <w:p w14:paraId="6815B3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eastAsia="黑体"/>
                <w:b/>
                <w:color w:val="auto"/>
                <w:kern w:val="2"/>
                <w:sz w:val="15"/>
                <w:szCs w:val="15"/>
              </w:rPr>
            </w:pPr>
            <w:r>
              <w:rPr>
                <w:rFonts w:eastAsia="黑体"/>
                <w:b/>
                <w:color w:val="auto"/>
                <w:kern w:val="2"/>
                <w:sz w:val="15"/>
                <w:szCs w:val="15"/>
              </w:rPr>
              <w:t>工业固体废物</w:t>
            </w:r>
          </w:p>
        </w:tc>
        <w:tc>
          <w:tcPr>
            <w:tcW w:w="850" w:type="dxa"/>
            <w:noWrap w:val="0"/>
            <w:vAlign w:val="center"/>
          </w:tcPr>
          <w:p w14:paraId="666DB0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2BFD4D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3469F8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332CF7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020D08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40A8C7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1AB04E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75D36F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991" w:type="dxa"/>
            <w:noWrap w:val="0"/>
            <w:vAlign w:val="center"/>
          </w:tcPr>
          <w:p w14:paraId="0D9A1F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279" w:type="dxa"/>
            <w:gridSpan w:val="3"/>
            <w:noWrap w:val="0"/>
            <w:vAlign w:val="center"/>
          </w:tcPr>
          <w:p w14:paraId="5F5C9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FF0000"/>
                <w:kern w:val="2"/>
                <w:sz w:val="15"/>
                <w:szCs w:val="15"/>
              </w:rPr>
            </w:pPr>
          </w:p>
        </w:tc>
        <w:tc>
          <w:tcPr>
            <w:tcW w:w="1133" w:type="dxa"/>
            <w:gridSpan w:val="2"/>
            <w:noWrap w:val="0"/>
            <w:vAlign w:val="center"/>
          </w:tcPr>
          <w:p w14:paraId="6903E9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4A4D03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49E3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614" w:type="dxa"/>
            <w:gridSpan w:val="2"/>
            <w:vMerge w:val="continue"/>
            <w:noWrap w:val="0"/>
            <w:vAlign w:val="center"/>
          </w:tcPr>
          <w:p w14:paraId="3161AD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9" w:type="dxa"/>
            <w:vMerge w:val="restart"/>
            <w:noWrap w:val="0"/>
            <w:vAlign w:val="center"/>
          </w:tcPr>
          <w:p w14:paraId="246B4A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r>
              <w:rPr>
                <w:b/>
                <w:color w:val="auto"/>
                <w:kern w:val="2"/>
                <w:sz w:val="15"/>
                <w:szCs w:val="15"/>
              </w:rPr>
              <w:t>与项目有关的其</w:t>
            </w:r>
            <w:r>
              <w:rPr>
                <w:rFonts w:hint="eastAsia"/>
                <w:b/>
                <w:color w:val="auto"/>
                <w:kern w:val="2"/>
                <w:sz w:val="15"/>
                <w:szCs w:val="15"/>
              </w:rPr>
              <w:t>他</w:t>
            </w:r>
            <w:r>
              <w:rPr>
                <w:b/>
                <w:color w:val="auto"/>
                <w:kern w:val="2"/>
                <w:sz w:val="15"/>
                <w:szCs w:val="15"/>
              </w:rPr>
              <w:t>特征污染物</w:t>
            </w:r>
          </w:p>
        </w:tc>
        <w:tc>
          <w:tcPr>
            <w:tcW w:w="715" w:type="dxa"/>
            <w:noWrap w:val="0"/>
            <w:vAlign w:val="center"/>
          </w:tcPr>
          <w:p w14:paraId="2458E0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50" w:type="dxa"/>
            <w:noWrap w:val="0"/>
            <w:vAlign w:val="center"/>
          </w:tcPr>
          <w:p w14:paraId="6592AA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6B2B37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0D5E9C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0C8714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77293A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6BE532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01653A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4CF46E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29DB28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341431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21B869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39E19F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3105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252ED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9" w:type="dxa"/>
            <w:vMerge w:val="continue"/>
            <w:noWrap w:val="0"/>
            <w:vAlign w:val="center"/>
          </w:tcPr>
          <w:p w14:paraId="60BEBC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p>
        </w:tc>
        <w:tc>
          <w:tcPr>
            <w:tcW w:w="715" w:type="dxa"/>
            <w:noWrap w:val="0"/>
            <w:vAlign w:val="center"/>
          </w:tcPr>
          <w:p w14:paraId="6E7113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50" w:type="dxa"/>
            <w:noWrap w:val="0"/>
            <w:vAlign w:val="center"/>
          </w:tcPr>
          <w:p w14:paraId="6D9039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006219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117776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5FA6C9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611678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53D0EA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62E075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595C20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6AFCAB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2DA728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0AFA4B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05BCEE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3952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 w:hRule="atLeast"/>
          <w:jc w:val="center"/>
        </w:trPr>
        <w:tc>
          <w:tcPr>
            <w:tcW w:w="614" w:type="dxa"/>
            <w:gridSpan w:val="2"/>
            <w:vMerge w:val="continue"/>
            <w:noWrap w:val="0"/>
            <w:vAlign w:val="center"/>
          </w:tcPr>
          <w:p w14:paraId="251898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9" w:type="dxa"/>
            <w:vMerge w:val="continue"/>
            <w:noWrap w:val="0"/>
            <w:vAlign w:val="center"/>
          </w:tcPr>
          <w:p w14:paraId="0E0738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p>
        </w:tc>
        <w:tc>
          <w:tcPr>
            <w:tcW w:w="715" w:type="dxa"/>
            <w:noWrap w:val="0"/>
            <w:vAlign w:val="center"/>
          </w:tcPr>
          <w:p w14:paraId="3BB256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color w:val="auto"/>
                <w:kern w:val="2"/>
                <w:sz w:val="15"/>
                <w:szCs w:val="15"/>
              </w:rPr>
            </w:pPr>
          </w:p>
        </w:tc>
        <w:tc>
          <w:tcPr>
            <w:tcW w:w="850" w:type="dxa"/>
            <w:noWrap w:val="0"/>
            <w:vAlign w:val="center"/>
          </w:tcPr>
          <w:p w14:paraId="6B053B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247137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3F76E6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2D54FE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1F5D77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1A060E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657460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169F91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38DCE0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3C5DB7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33244E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642D19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11F5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E0F3D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9" w:type="dxa"/>
            <w:vMerge w:val="continue"/>
            <w:noWrap w:val="0"/>
            <w:vAlign w:val="center"/>
          </w:tcPr>
          <w:p w14:paraId="340A41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p>
        </w:tc>
        <w:tc>
          <w:tcPr>
            <w:tcW w:w="715" w:type="dxa"/>
            <w:noWrap w:val="0"/>
            <w:vAlign w:val="center"/>
          </w:tcPr>
          <w:p w14:paraId="225B8A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color w:val="auto"/>
                <w:kern w:val="2"/>
                <w:sz w:val="15"/>
                <w:szCs w:val="15"/>
              </w:rPr>
            </w:pPr>
          </w:p>
        </w:tc>
        <w:tc>
          <w:tcPr>
            <w:tcW w:w="850" w:type="dxa"/>
            <w:noWrap w:val="0"/>
            <w:vAlign w:val="center"/>
          </w:tcPr>
          <w:p w14:paraId="5BAA0B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1AE17B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777293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55376D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055404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5418EF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14D1B2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220616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0B8F74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6AFF1C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06E219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13433E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7EF8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825A9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9" w:type="dxa"/>
            <w:vMerge w:val="continue"/>
            <w:noWrap w:val="0"/>
            <w:vAlign w:val="center"/>
          </w:tcPr>
          <w:p w14:paraId="1A6759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p>
        </w:tc>
        <w:tc>
          <w:tcPr>
            <w:tcW w:w="715" w:type="dxa"/>
            <w:noWrap w:val="0"/>
            <w:vAlign w:val="center"/>
          </w:tcPr>
          <w:p w14:paraId="75B6FA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color w:val="auto"/>
                <w:kern w:val="2"/>
                <w:sz w:val="15"/>
                <w:szCs w:val="15"/>
              </w:rPr>
            </w:pPr>
          </w:p>
        </w:tc>
        <w:tc>
          <w:tcPr>
            <w:tcW w:w="850" w:type="dxa"/>
            <w:noWrap w:val="0"/>
            <w:vAlign w:val="center"/>
          </w:tcPr>
          <w:p w14:paraId="2D1406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132681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625F1B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31972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53EB4A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0CD673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010CE6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2E0ECA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72DC13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3CA0BE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1CEE18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5E2995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r w14:paraId="4048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3D2455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9" w:type="dxa"/>
            <w:vMerge w:val="continue"/>
            <w:noWrap w:val="0"/>
            <w:vAlign w:val="center"/>
          </w:tcPr>
          <w:p w14:paraId="6E88A7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b/>
                <w:color w:val="auto"/>
                <w:kern w:val="2"/>
                <w:sz w:val="15"/>
                <w:szCs w:val="15"/>
              </w:rPr>
            </w:pPr>
          </w:p>
        </w:tc>
        <w:tc>
          <w:tcPr>
            <w:tcW w:w="715" w:type="dxa"/>
            <w:noWrap w:val="0"/>
            <w:vAlign w:val="center"/>
          </w:tcPr>
          <w:p w14:paraId="595000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color w:val="auto"/>
                <w:kern w:val="2"/>
                <w:sz w:val="15"/>
                <w:szCs w:val="15"/>
              </w:rPr>
            </w:pPr>
          </w:p>
        </w:tc>
        <w:tc>
          <w:tcPr>
            <w:tcW w:w="850" w:type="dxa"/>
            <w:noWrap w:val="0"/>
            <w:vAlign w:val="center"/>
          </w:tcPr>
          <w:p w14:paraId="59178E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418" w:type="dxa"/>
            <w:noWrap w:val="0"/>
            <w:vAlign w:val="center"/>
          </w:tcPr>
          <w:p w14:paraId="69CCE2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7" w:type="dxa"/>
            <w:noWrap w:val="0"/>
            <w:vAlign w:val="center"/>
          </w:tcPr>
          <w:p w14:paraId="3157DA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20" w:type="dxa"/>
            <w:gridSpan w:val="2"/>
            <w:noWrap w:val="0"/>
            <w:vAlign w:val="center"/>
          </w:tcPr>
          <w:p w14:paraId="2FCB8C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28" w:type="dxa"/>
            <w:gridSpan w:val="2"/>
            <w:noWrap w:val="0"/>
            <w:vAlign w:val="center"/>
          </w:tcPr>
          <w:p w14:paraId="18B694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79" w:type="dxa"/>
            <w:noWrap w:val="0"/>
            <w:vAlign w:val="center"/>
          </w:tcPr>
          <w:p w14:paraId="79414E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086" w:type="dxa"/>
            <w:noWrap w:val="0"/>
            <w:vAlign w:val="center"/>
          </w:tcPr>
          <w:p w14:paraId="612AA6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929" w:type="dxa"/>
            <w:noWrap w:val="0"/>
            <w:vAlign w:val="center"/>
          </w:tcPr>
          <w:p w14:paraId="178D41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991" w:type="dxa"/>
            <w:noWrap w:val="0"/>
            <w:vAlign w:val="center"/>
          </w:tcPr>
          <w:p w14:paraId="35A955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279" w:type="dxa"/>
            <w:gridSpan w:val="3"/>
            <w:noWrap w:val="0"/>
            <w:vAlign w:val="center"/>
          </w:tcPr>
          <w:p w14:paraId="3C2E92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1133" w:type="dxa"/>
            <w:gridSpan w:val="2"/>
            <w:noWrap w:val="0"/>
            <w:vAlign w:val="center"/>
          </w:tcPr>
          <w:p w14:paraId="2F3C71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c>
          <w:tcPr>
            <w:tcW w:w="813" w:type="dxa"/>
            <w:gridSpan w:val="2"/>
            <w:noWrap w:val="0"/>
            <w:vAlign w:val="center"/>
          </w:tcPr>
          <w:p w14:paraId="619C79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color w:val="auto"/>
                <w:kern w:val="2"/>
                <w:sz w:val="15"/>
                <w:szCs w:val="15"/>
              </w:rPr>
            </w:pPr>
          </w:p>
        </w:tc>
      </w:tr>
    </w:tbl>
    <w:p w14:paraId="01A52485">
      <w:pPr>
        <w:pStyle w:val="9"/>
        <w:rPr>
          <w:rFonts w:hint="eastAsia"/>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3CBEB468">
      <w:pPr>
        <w:jc w:val="center"/>
        <w:rPr>
          <w:rFonts w:hint="eastAsia"/>
          <w:lang w:val="en-US" w:eastAsia="zh-CN"/>
        </w:rPr>
      </w:pPr>
      <w:r>
        <w:drawing>
          <wp:inline distT="0" distB="0" distL="114300" distR="114300">
            <wp:extent cx="8829675" cy="4572000"/>
            <wp:effectExtent l="0" t="0" r="9525" b="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9"/>
                    <a:stretch>
                      <a:fillRect/>
                    </a:stretch>
                  </pic:blipFill>
                  <pic:spPr>
                    <a:xfrm>
                      <a:off x="0" y="0"/>
                      <a:ext cx="8829675" cy="4572000"/>
                    </a:xfrm>
                    <a:prstGeom prst="rect">
                      <a:avLst/>
                    </a:prstGeom>
                    <a:noFill/>
                    <a:ln>
                      <a:noFill/>
                    </a:ln>
                  </pic:spPr>
                </pic:pic>
              </a:graphicData>
            </a:graphic>
          </wp:inline>
        </w:drawing>
      </w:r>
    </w:p>
    <w:p w14:paraId="35C2E1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pPr>
      <w:bookmarkStart w:id="55" w:name="_Toc24966"/>
      <w:bookmarkStart w:id="56" w:name="_Toc32439"/>
      <w:r>
        <w:rPr>
          <w:rFonts w:hint="eastAsia" w:ascii="Times New Roman" w:hAnsi="Times New Roman" w:cs="Times New Roman"/>
          <w:bCs/>
          <w:color w:val="auto"/>
          <w:sz w:val="28"/>
          <w:szCs w:val="28"/>
          <w:lang w:val="en-US" w:eastAsia="zh-CN"/>
        </w:rPr>
        <w:t>附图1 项目地理位置图</w:t>
      </w:r>
      <w:bookmarkEnd w:id="55"/>
      <w:bookmarkEnd w:id="56"/>
    </w:p>
    <w:p w14:paraId="4A1CBB6A">
      <w:pPr>
        <w:jc w:val="center"/>
        <w:rPr>
          <w:rFonts w:hint="eastAsia"/>
          <w:lang w:val="en-US" w:eastAsia="zh-CN"/>
        </w:rPr>
        <w:sectPr>
          <w:footerReference r:id="rId5"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01F9A0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lang w:val="en-US" w:eastAsia="zh-CN"/>
        </w:rPr>
      </w:pPr>
      <w:r>
        <w:drawing>
          <wp:inline distT="0" distB="0" distL="114300" distR="114300">
            <wp:extent cx="8575675" cy="4799330"/>
            <wp:effectExtent l="0" t="0" r="15875" b="127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0"/>
                    <a:stretch>
                      <a:fillRect/>
                    </a:stretch>
                  </pic:blipFill>
                  <pic:spPr>
                    <a:xfrm>
                      <a:off x="0" y="0"/>
                      <a:ext cx="8575675" cy="4799330"/>
                    </a:xfrm>
                    <a:prstGeom prst="rect">
                      <a:avLst/>
                    </a:prstGeom>
                    <a:noFill/>
                    <a:ln>
                      <a:noFill/>
                    </a:ln>
                  </pic:spPr>
                </pic:pic>
              </a:graphicData>
            </a:graphic>
          </wp:inline>
        </w:drawing>
      </w:r>
    </w:p>
    <w:p w14:paraId="6AF18E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57" w:name="_Toc29912"/>
      <w:bookmarkStart w:id="58" w:name="_Toc21573"/>
      <w:r>
        <w:rPr>
          <w:rFonts w:hint="eastAsia" w:ascii="Times New Roman" w:hAnsi="Times New Roman" w:cs="Times New Roman"/>
          <w:bCs/>
          <w:color w:val="auto"/>
          <w:sz w:val="28"/>
          <w:szCs w:val="28"/>
          <w:lang w:val="en-US" w:eastAsia="zh-CN"/>
        </w:rPr>
        <w:t>附图2 项目平面布置图</w:t>
      </w:r>
      <w:bookmarkEnd w:id="57"/>
      <w:bookmarkEnd w:id="58"/>
    </w:p>
    <w:p w14:paraId="38139816">
      <w:pPr>
        <w:bidi w:val="0"/>
        <w:jc w:val="center"/>
      </w:pPr>
      <w:r>
        <w:drawing>
          <wp:inline distT="0" distB="0" distL="114300" distR="114300">
            <wp:extent cx="8432165" cy="4801870"/>
            <wp:effectExtent l="0" t="0" r="6985" b="177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1"/>
                    <a:stretch>
                      <a:fillRect/>
                    </a:stretch>
                  </pic:blipFill>
                  <pic:spPr>
                    <a:xfrm>
                      <a:off x="0" y="0"/>
                      <a:ext cx="8432165" cy="4801870"/>
                    </a:xfrm>
                    <a:prstGeom prst="rect">
                      <a:avLst/>
                    </a:prstGeom>
                    <a:noFill/>
                    <a:ln>
                      <a:noFill/>
                    </a:ln>
                  </pic:spPr>
                </pic:pic>
              </a:graphicData>
            </a:graphic>
          </wp:inline>
        </w:drawing>
      </w:r>
    </w:p>
    <w:p w14:paraId="25192F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59" w:name="_Toc15161"/>
      <w:r>
        <w:rPr>
          <w:rFonts w:hint="eastAsia" w:ascii="Times New Roman" w:hAnsi="Times New Roman" w:cs="Times New Roman"/>
          <w:bCs/>
          <w:color w:val="auto"/>
          <w:sz w:val="28"/>
          <w:szCs w:val="28"/>
          <w:lang w:val="en-US" w:eastAsia="zh-CN"/>
        </w:rPr>
        <w:t>附图3 监测点位示意图</w:t>
      </w:r>
      <w:bookmarkEnd w:id="59"/>
    </w:p>
    <w:p w14:paraId="77FF0A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bCs/>
          <w:color w:val="auto"/>
          <w:sz w:val="28"/>
          <w:szCs w:val="28"/>
          <w:lang w:val="en-US" w:eastAsia="zh-CN"/>
        </w:rPr>
      </w:pPr>
      <w:r>
        <w:drawing>
          <wp:inline distT="0" distB="0" distL="114300" distR="114300">
            <wp:extent cx="8296275" cy="4629150"/>
            <wp:effectExtent l="0" t="0" r="9525" b="0"/>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12"/>
                    <a:stretch>
                      <a:fillRect/>
                    </a:stretch>
                  </pic:blipFill>
                  <pic:spPr>
                    <a:xfrm>
                      <a:off x="0" y="0"/>
                      <a:ext cx="8296275" cy="4629150"/>
                    </a:xfrm>
                    <a:prstGeom prst="rect">
                      <a:avLst/>
                    </a:prstGeom>
                    <a:noFill/>
                    <a:ln>
                      <a:noFill/>
                    </a:ln>
                  </pic:spPr>
                </pic:pic>
              </a:graphicData>
            </a:graphic>
          </wp:inline>
        </w:drawing>
      </w:r>
    </w:p>
    <w:p w14:paraId="0793C9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default" w:ascii="Times New Roman" w:hAnsi="Times New Roman" w:eastAsia="宋体" w:cs="Times New Roman"/>
          <w:bCs/>
          <w:color w:val="auto"/>
          <w:sz w:val="28"/>
          <w:szCs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60" w:name="_Toc18659"/>
      <w:bookmarkStart w:id="61" w:name="_Toc24885"/>
      <w:r>
        <w:rPr>
          <w:rFonts w:hint="eastAsia" w:ascii="Times New Roman" w:hAnsi="Times New Roman" w:eastAsia="宋体" w:cs="Times New Roman"/>
          <w:bCs/>
          <w:color w:val="auto"/>
          <w:sz w:val="28"/>
          <w:szCs w:val="28"/>
          <w:lang w:val="en-US" w:eastAsia="zh-CN"/>
        </w:rPr>
        <w:t>附图</w:t>
      </w:r>
      <w:r>
        <w:rPr>
          <w:rFonts w:hint="eastAsia" w:ascii="Times New Roman" w:hAnsi="Times New Roman" w:cs="Times New Roman"/>
          <w:bCs/>
          <w:color w:val="auto"/>
          <w:sz w:val="28"/>
          <w:szCs w:val="28"/>
          <w:lang w:val="en-US" w:eastAsia="zh-CN"/>
        </w:rPr>
        <w:t>4</w:t>
      </w:r>
      <w:r>
        <w:rPr>
          <w:rFonts w:hint="eastAsia" w:ascii="Times New Roman" w:hAnsi="Times New Roman" w:eastAsia="宋体" w:cs="Times New Roman"/>
          <w:bCs/>
          <w:color w:val="auto"/>
          <w:sz w:val="28"/>
          <w:szCs w:val="28"/>
          <w:lang w:val="en-US" w:eastAsia="zh-CN"/>
        </w:rPr>
        <w:t xml:space="preserve"> 项目卫生防护距离图</w:t>
      </w:r>
      <w:bookmarkEnd w:id="60"/>
      <w:bookmarkEnd w:id="61"/>
    </w:p>
    <w:p w14:paraId="7C99E4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eastAsia="宋体" w:cs="Times New Roman"/>
          <w:bCs/>
          <w:color w:val="0000FF"/>
          <w:sz w:val="28"/>
          <w:szCs w:val="28"/>
          <w:lang w:val="en-US" w:eastAsia="zh-CN"/>
        </w:rPr>
      </w:pPr>
      <w:bookmarkStart w:id="62" w:name="_Toc27031"/>
      <w:r>
        <w:rPr>
          <w:rFonts w:hint="default" w:ascii="Times New Roman" w:hAnsi="Times New Roman" w:eastAsia="宋体" w:cs="Times New Roman"/>
          <w:bCs/>
          <w:color w:val="000000" w:themeColor="text1"/>
          <w:sz w:val="28"/>
          <w:szCs w:val="28"/>
          <w14:textFill>
            <w14:solidFill>
              <w14:schemeClr w14:val="tx1"/>
            </w14:solidFill>
          </w14:textFill>
        </w:rPr>
        <w:t>附</w:t>
      </w:r>
      <w:r>
        <w:rPr>
          <w:rFonts w:hint="default" w:ascii="Times New Roman" w:hAnsi="Times New Roman" w:eastAsia="宋体" w:cs="Times New Roman"/>
          <w:bCs/>
          <w:color w:val="000000" w:themeColor="text1"/>
          <w:sz w:val="28"/>
          <w:szCs w:val="28"/>
          <w:lang w:eastAsia="zh-CN"/>
          <w14:textFill>
            <w14:solidFill>
              <w14:schemeClr w14:val="tx1"/>
            </w14:solidFill>
          </w14:textFill>
        </w:rPr>
        <w:t>图</w:t>
      </w:r>
      <w:r>
        <w:rPr>
          <w:rFonts w:hint="eastAsia" w:ascii="Times New Roman" w:hAnsi="Times New Roman" w:cs="Times New Roman"/>
          <w:bCs/>
          <w:color w:val="000000" w:themeColor="text1"/>
          <w:sz w:val="28"/>
          <w:szCs w:val="28"/>
          <w:lang w:val="en-US" w:eastAsia="zh-CN"/>
          <w14:textFill>
            <w14:solidFill>
              <w14:schemeClr w14:val="tx1"/>
            </w14:solidFill>
          </w14:textFill>
        </w:rPr>
        <w:t xml:space="preserve">5 </w:t>
      </w:r>
      <w:r>
        <w:rPr>
          <w:rFonts w:hint="default" w:ascii="Times New Roman" w:hAnsi="Times New Roman" w:eastAsia="宋体" w:cs="Times New Roman"/>
          <w:bCs/>
          <w:color w:val="000000" w:themeColor="text1"/>
          <w:sz w:val="28"/>
          <w:szCs w:val="28"/>
          <w:lang w:eastAsia="zh-CN"/>
          <w14:textFill>
            <w14:solidFill>
              <w14:schemeClr w14:val="tx1"/>
            </w14:solidFill>
          </w14:textFill>
        </w:rPr>
        <w:t>部分</w:t>
      </w:r>
      <w:r>
        <w:rPr>
          <w:rFonts w:hint="eastAsia" w:ascii="Times New Roman" w:hAnsi="Times New Roman" w:cs="Times New Roman"/>
          <w:bCs/>
          <w:color w:val="000000" w:themeColor="text1"/>
          <w:sz w:val="28"/>
          <w:szCs w:val="28"/>
          <w:lang w:val="en-US" w:eastAsia="zh-CN"/>
          <w14:textFill>
            <w14:solidFill>
              <w14:schemeClr w14:val="tx1"/>
            </w14:solidFill>
          </w14:textFill>
        </w:rPr>
        <w:t>采样照片及环保设施照片</w:t>
      </w:r>
      <w:bookmarkEnd w:id="62"/>
    </w:p>
    <w:tbl>
      <w:tblPr>
        <w:tblStyle w:val="25"/>
        <w:tblW w:w="93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63"/>
        <w:gridCol w:w="4567"/>
      </w:tblGrid>
      <w:tr w14:paraId="6120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330" w:type="dxa"/>
            <w:gridSpan w:val="2"/>
            <w:noWrap w:val="0"/>
            <w:vAlign w:val="top"/>
          </w:tcPr>
          <w:p w14:paraId="084631E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color w:val="FF0000"/>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部分现场采样照片：</w:t>
            </w:r>
          </w:p>
        </w:tc>
      </w:tr>
      <w:tr w14:paraId="70A2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2" w:hRule="atLeast"/>
          <w:jc w:val="center"/>
        </w:trPr>
        <w:tc>
          <w:tcPr>
            <w:tcW w:w="4763" w:type="dxa"/>
            <w:noWrap w:val="0"/>
            <w:vAlign w:val="top"/>
          </w:tcPr>
          <w:p w14:paraId="4A7014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887345" cy="3851275"/>
                  <wp:effectExtent l="0" t="0" r="8255" b="15875"/>
                  <wp:docPr id="9" name="图片 9" descr="84f1258c42adef4fc28ec250f726b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4f1258c42adef4fc28ec250f726be38"/>
                          <pic:cNvPicPr>
                            <a:picLocks noChangeAspect="1"/>
                          </pic:cNvPicPr>
                        </pic:nvPicPr>
                        <pic:blipFill>
                          <a:blip r:embed="rId13"/>
                          <a:stretch>
                            <a:fillRect/>
                          </a:stretch>
                        </pic:blipFill>
                        <pic:spPr>
                          <a:xfrm>
                            <a:off x="0" y="0"/>
                            <a:ext cx="2887345" cy="3851275"/>
                          </a:xfrm>
                          <a:prstGeom prst="rect">
                            <a:avLst/>
                          </a:prstGeom>
                        </pic:spPr>
                      </pic:pic>
                    </a:graphicData>
                  </a:graphic>
                </wp:inline>
              </w:drawing>
            </w:r>
          </w:p>
        </w:tc>
        <w:tc>
          <w:tcPr>
            <w:tcW w:w="4567" w:type="dxa"/>
            <w:noWrap w:val="0"/>
            <w:vAlign w:val="top"/>
          </w:tcPr>
          <w:p w14:paraId="01AC04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sz w:val="24"/>
                <w:szCs w:val="24"/>
                <w:vertAlign w:val="baseline"/>
                <w:lang w:val="en-US" w:eastAsia="zh-CN"/>
              </w:rPr>
            </w:pPr>
            <w:r>
              <w:rPr>
                <w:rFonts w:hint="eastAsia" w:ascii="Times New Roman" w:hAnsi="Times New Roman" w:eastAsia="宋体" w:cs="Times New Roman"/>
                <w:color w:val="auto"/>
                <w:sz w:val="24"/>
                <w:szCs w:val="24"/>
                <w:vertAlign w:val="baseline"/>
                <w:lang w:val="en-US" w:eastAsia="zh-CN"/>
              </w:rPr>
              <w:drawing>
                <wp:inline distT="0" distB="0" distL="114300" distR="114300">
                  <wp:extent cx="2753360" cy="3672205"/>
                  <wp:effectExtent l="0" t="0" r="8890" b="4445"/>
                  <wp:docPr id="13" name="图片 13" descr="7ceb8ef7ae49db5d7747b86d52d1d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ceb8ef7ae49db5d7747b86d52d1d956"/>
                          <pic:cNvPicPr>
                            <a:picLocks noChangeAspect="1"/>
                          </pic:cNvPicPr>
                        </pic:nvPicPr>
                        <pic:blipFill>
                          <a:blip r:embed="rId14"/>
                          <a:stretch>
                            <a:fillRect/>
                          </a:stretch>
                        </pic:blipFill>
                        <pic:spPr>
                          <a:xfrm>
                            <a:off x="0" y="0"/>
                            <a:ext cx="2753360" cy="3672205"/>
                          </a:xfrm>
                          <a:prstGeom prst="rect">
                            <a:avLst/>
                          </a:prstGeom>
                        </pic:spPr>
                      </pic:pic>
                    </a:graphicData>
                  </a:graphic>
                </wp:inline>
              </w:drawing>
            </w:r>
          </w:p>
        </w:tc>
      </w:tr>
      <w:tr w14:paraId="6D76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jc w:val="center"/>
        </w:trPr>
        <w:tc>
          <w:tcPr>
            <w:tcW w:w="9330" w:type="dxa"/>
            <w:gridSpan w:val="2"/>
            <w:noWrap w:val="0"/>
            <w:vAlign w:val="center"/>
          </w:tcPr>
          <w:p w14:paraId="4B88DA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有组织废气采样</w:t>
            </w:r>
          </w:p>
        </w:tc>
      </w:tr>
      <w:tr w14:paraId="15E1B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7" w:hRule="atLeast"/>
          <w:jc w:val="center"/>
        </w:trPr>
        <w:tc>
          <w:tcPr>
            <w:tcW w:w="4763" w:type="dxa"/>
            <w:noWrap w:val="0"/>
            <w:vAlign w:val="top"/>
          </w:tcPr>
          <w:p w14:paraId="100148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887345" cy="3851275"/>
                  <wp:effectExtent l="0" t="0" r="8255" b="15875"/>
                  <wp:docPr id="12" name="图片 12" descr="c1f5a31653fa66975c82478d6cbde9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1f5a31653fa66975c82478d6cbde93e"/>
                          <pic:cNvPicPr>
                            <a:picLocks noChangeAspect="1"/>
                          </pic:cNvPicPr>
                        </pic:nvPicPr>
                        <pic:blipFill>
                          <a:blip r:embed="rId15"/>
                          <a:stretch>
                            <a:fillRect/>
                          </a:stretch>
                        </pic:blipFill>
                        <pic:spPr>
                          <a:xfrm>
                            <a:off x="0" y="0"/>
                            <a:ext cx="2887345" cy="3851275"/>
                          </a:xfrm>
                          <a:prstGeom prst="rect">
                            <a:avLst/>
                          </a:prstGeom>
                        </pic:spPr>
                      </pic:pic>
                    </a:graphicData>
                  </a:graphic>
                </wp:inline>
              </w:drawing>
            </w:r>
          </w:p>
        </w:tc>
        <w:tc>
          <w:tcPr>
            <w:tcW w:w="4567" w:type="dxa"/>
            <w:noWrap w:val="0"/>
            <w:vAlign w:val="top"/>
          </w:tcPr>
          <w:p w14:paraId="5BA651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753360" cy="3672205"/>
                  <wp:effectExtent l="0" t="0" r="8890" b="4445"/>
                  <wp:docPr id="11" name="图片 11" descr="d2fd169341a9ba0303e372a64e173d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2fd169341a9ba0303e372a64e173d9d"/>
                          <pic:cNvPicPr>
                            <a:picLocks noChangeAspect="1"/>
                          </pic:cNvPicPr>
                        </pic:nvPicPr>
                        <pic:blipFill>
                          <a:blip r:embed="rId16"/>
                          <a:stretch>
                            <a:fillRect/>
                          </a:stretch>
                        </pic:blipFill>
                        <pic:spPr>
                          <a:xfrm>
                            <a:off x="0" y="0"/>
                            <a:ext cx="2753360" cy="3672205"/>
                          </a:xfrm>
                          <a:prstGeom prst="rect">
                            <a:avLst/>
                          </a:prstGeom>
                        </pic:spPr>
                      </pic:pic>
                    </a:graphicData>
                  </a:graphic>
                </wp:inline>
              </w:drawing>
            </w:r>
          </w:p>
        </w:tc>
      </w:tr>
      <w:tr w14:paraId="4A54F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4763" w:type="dxa"/>
            <w:noWrap w:val="0"/>
            <w:vAlign w:val="center"/>
          </w:tcPr>
          <w:p w14:paraId="536911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无组织废气采样</w:t>
            </w:r>
          </w:p>
        </w:tc>
        <w:tc>
          <w:tcPr>
            <w:tcW w:w="4567" w:type="dxa"/>
            <w:noWrap w:val="0"/>
            <w:vAlign w:val="center"/>
          </w:tcPr>
          <w:p w14:paraId="454A96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噪声监测</w:t>
            </w:r>
          </w:p>
        </w:tc>
      </w:tr>
      <w:tr w14:paraId="53B61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9330" w:type="dxa"/>
            <w:gridSpan w:val="2"/>
            <w:noWrap w:val="0"/>
            <w:vAlign w:val="center"/>
          </w:tcPr>
          <w:p w14:paraId="507E2CF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p>
          <w:p w14:paraId="78F798F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Times New Roman" w:hAnsi="Times New Roman" w:cs="Times New Roman"/>
                <w:b/>
                <w:bCs/>
                <w:color w:val="auto"/>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w:t>
            </w:r>
            <w:r>
              <w:rPr>
                <w:rFonts w:hint="eastAsia"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环保设施</w:t>
            </w: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照片：</w:t>
            </w:r>
          </w:p>
        </w:tc>
      </w:tr>
      <w:tr w14:paraId="1266A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4763" w:type="dxa"/>
            <w:noWrap w:val="0"/>
            <w:vAlign w:val="center"/>
          </w:tcPr>
          <w:p w14:paraId="6C7BA3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886075" cy="2343150"/>
                  <wp:effectExtent l="0" t="0" r="9525" b="0"/>
                  <wp:docPr id="22" name="图片 22" descr="D:/阳峰资料/康立泰资料/现场照片/除尘器1.jpg除尘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阳峰资料/康立泰资料/现场照片/除尘器1.jpg除尘器1"/>
                          <pic:cNvPicPr>
                            <a:picLocks noChangeAspect="1"/>
                          </pic:cNvPicPr>
                        </pic:nvPicPr>
                        <pic:blipFill>
                          <a:blip r:embed="rId17"/>
                          <a:srcRect t="11782" b="11782"/>
                          <a:stretch>
                            <a:fillRect/>
                          </a:stretch>
                        </pic:blipFill>
                        <pic:spPr>
                          <a:xfrm>
                            <a:off x="0" y="0"/>
                            <a:ext cx="2886075" cy="2343150"/>
                          </a:xfrm>
                          <a:prstGeom prst="rect">
                            <a:avLst/>
                          </a:prstGeom>
                        </pic:spPr>
                      </pic:pic>
                    </a:graphicData>
                  </a:graphic>
                </wp:inline>
              </w:drawing>
            </w:r>
          </w:p>
        </w:tc>
        <w:tc>
          <w:tcPr>
            <w:tcW w:w="4567" w:type="dxa"/>
            <w:noWrap w:val="0"/>
            <w:vAlign w:val="center"/>
          </w:tcPr>
          <w:p w14:paraId="4E3D6E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749550" cy="2023745"/>
                  <wp:effectExtent l="0" t="0" r="12700" b="14605"/>
                  <wp:docPr id="24" name="图片 24" descr="D:/阳峰资料/康立泰资料/现场照片/除尘器2.jpg除尘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阳峰资料/康立泰资料/现场照片/除尘器2.jpg除尘器2"/>
                          <pic:cNvPicPr>
                            <a:picLocks noChangeAspect="1"/>
                          </pic:cNvPicPr>
                        </pic:nvPicPr>
                        <pic:blipFill>
                          <a:blip r:embed="rId18"/>
                          <a:srcRect t="22402" b="22402"/>
                          <a:stretch>
                            <a:fillRect/>
                          </a:stretch>
                        </pic:blipFill>
                        <pic:spPr>
                          <a:xfrm>
                            <a:off x="0" y="0"/>
                            <a:ext cx="2749550" cy="2023745"/>
                          </a:xfrm>
                          <a:prstGeom prst="rect">
                            <a:avLst/>
                          </a:prstGeom>
                        </pic:spPr>
                      </pic:pic>
                    </a:graphicData>
                  </a:graphic>
                </wp:inline>
              </w:drawing>
            </w:r>
          </w:p>
        </w:tc>
      </w:tr>
      <w:tr w14:paraId="448E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9330" w:type="dxa"/>
            <w:gridSpan w:val="2"/>
            <w:noWrap w:val="0"/>
            <w:vAlign w:val="center"/>
          </w:tcPr>
          <w:p w14:paraId="548B24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脉冲除尘器</w:t>
            </w:r>
          </w:p>
        </w:tc>
      </w:tr>
      <w:tr w14:paraId="6CDEE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4763" w:type="dxa"/>
            <w:noWrap w:val="0"/>
            <w:vAlign w:val="center"/>
          </w:tcPr>
          <w:p w14:paraId="0BD866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812415" cy="2880360"/>
                  <wp:effectExtent l="0" t="0" r="15240" b="6985"/>
                  <wp:docPr id="19" name="图片 19" descr="2e090912646924d26bcc7f8a75fbb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e090912646924d26bcc7f8a75fbb619"/>
                          <pic:cNvPicPr>
                            <a:picLocks noChangeAspect="1"/>
                          </pic:cNvPicPr>
                        </pic:nvPicPr>
                        <pic:blipFill>
                          <a:blip r:embed="rId19"/>
                          <a:stretch>
                            <a:fillRect/>
                          </a:stretch>
                        </pic:blipFill>
                        <pic:spPr>
                          <a:xfrm rot="5400000">
                            <a:off x="0" y="0"/>
                            <a:ext cx="2812415" cy="2880360"/>
                          </a:xfrm>
                          <a:prstGeom prst="rect">
                            <a:avLst/>
                          </a:prstGeom>
                        </pic:spPr>
                      </pic:pic>
                    </a:graphicData>
                  </a:graphic>
                </wp:inline>
              </w:drawing>
            </w:r>
          </w:p>
        </w:tc>
        <w:tc>
          <w:tcPr>
            <w:tcW w:w="4567" w:type="dxa"/>
            <w:noWrap w:val="0"/>
            <w:vAlign w:val="center"/>
          </w:tcPr>
          <w:p w14:paraId="7817CC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757170" cy="2790190"/>
                  <wp:effectExtent l="0" t="0" r="5080" b="10160"/>
                  <wp:docPr id="23" name="图片 23" descr="D:/阳峰资料/康立泰资料/现场照片/检测废水沉淀池.jpg检测废水沉淀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阳峰资料/康立泰资料/现场照片/检测废水沉淀池.jpg检测废水沉淀池"/>
                          <pic:cNvPicPr>
                            <a:picLocks noChangeAspect="1"/>
                          </pic:cNvPicPr>
                        </pic:nvPicPr>
                        <pic:blipFill>
                          <a:blip r:embed="rId20"/>
                          <a:srcRect l="5829" r="5829"/>
                          <a:stretch>
                            <a:fillRect/>
                          </a:stretch>
                        </pic:blipFill>
                        <pic:spPr>
                          <a:xfrm>
                            <a:off x="0" y="0"/>
                            <a:ext cx="2757170" cy="2790190"/>
                          </a:xfrm>
                          <a:prstGeom prst="rect">
                            <a:avLst/>
                          </a:prstGeom>
                        </pic:spPr>
                      </pic:pic>
                    </a:graphicData>
                  </a:graphic>
                </wp:inline>
              </w:drawing>
            </w:r>
          </w:p>
        </w:tc>
      </w:tr>
      <w:tr w14:paraId="5B18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4763" w:type="dxa"/>
            <w:noWrap w:val="0"/>
            <w:vAlign w:val="center"/>
          </w:tcPr>
          <w:p w14:paraId="6F5D62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一般固废暂存区</w:t>
            </w:r>
          </w:p>
        </w:tc>
        <w:tc>
          <w:tcPr>
            <w:tcW w:w="4567" w:type="dxa"/>
            <w:noWrap w:val="0"/>
            <w:vAlign w:val="center"/>
          </w:tcPr>
          <w:p w14:paraId="12159B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检测废水沉淀池</w:t>
            </w:r>
          </w:p>
        </w:tc>
      </w:tr>
      <w:tr w14:paraId="3BE5C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4763" w:type="dxa"/>
            <w:noWrap w:val="0"/>
            <w:vAlign w:val="center"/>
          </w:tcPr>
          <w:p w14:paraId="2AD5D1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830830" cy="2880360"/>
                  <wp:effectExtent l="0" t="0" r="15240" b="7620"/>
                  <wp:docPr id="20" name="图片 20" descr="9485169ac039507ba4eada6a02b6a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9485169ac039507ba4eada6a02b6a880"/>
                          <pic:cNvPicPr>
                            <a:picLocks noChangeAspect="1"/>
                          </pic:cNvPicPr>
                        </pic:nvPicPr>
                        <pic:blipFill>
                          <a:blip r:embed="rId21"/>
                          <a:stretch>
                            <a:fillRect/>
                          </a:stretch>
                        </pic:blipFill>
                        <pic:spPr>
                          <a:xfrm rot="5400000">
                            <a:off x="0" y="0"/>
                            <a:ext cx="2830830" cy="2880360"/>
                          </a:xfrm>
                          <a:prstGeom prst="rect">
                            <a:avLst/>
                          </a:prstGeom>
                        </pic:spPr>
                      </pic:pic>
                    </a:graphicData>
                  </a:graphic>
                </wp:inline>
              </w:drawing>
            </w:r>
          </w:p>
        </w:tc>
        <w:tc>
          <w:tcPr>
            <w:tcW w:w="4567" w:type="dxa"/>
            <w:noWrap w:val="0"/>
            <w:vAlign w:val="center"/>
          </w:tcPr>
          <w:p w14:paraId="5A2832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p>
        </w:tc>
      </w:tr>
      <w:tr w14:paraId="36354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4763" w:type="dxa"/>
            <w:noWrap w:val="0"/>
            <w:vAlign w:val="center"/>
          </w:tcPr>
          <w:p w14:paraId="26D798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标识牌</w:t>
            </w:r>
          </w:p>
        </w:tc>
        <w:tc>
          <w:tcPr>
            <w:tcW w:w="4567" w:type="dxa"/>
            <w:noWrap w:val="0"/>
            <w:vAlign w:val="center"/>
          </w:tcPr>
          <w:p w14:paraId="13B0F4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p>
        </w:tc>
      </w:tr>
    </w:tbl>
    <w:p w14:paraId="2649CBE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sectPr>
          <w:footerReference r:id="rId6"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392BA5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eastAsia="宋体"/>
          <w:color w:val="000000" w:themeColor="text1"/>
          <w:lang w:eastAsia="zh-CN"/>
          <w14:textFill>
            <w14:solidFill>
              <w14:schemeClr w14:val="tx1"/>
            </w14:solidFill>
          </w14:textFill>
        </w:rPr>
      </w:pPr>
      <w:bookmarkStart w:id="63" w:name="_Toc28764"/>
      <w:r>
        <w:rPr>
          <w:rFonts w:ascii="Times New Roman" w:hAnsi="Times New Roman"/>
          <w:bCs/>
          <w:color w:val="000000" w:themeColor="text1"/>
          <w:sz w:val="28"/>
          <w:szCs w:val="28"/>
          <w14:textFill>
            <w14:solidFill>
              <w14:schemeClr w14:val="tx1"/>
            </w14:solidFill>
          </w14:textFill>
        </w:rPr>
        <w:t>附件</w:t>
      </w:r>
      <w:r>
        <w:rPr>
          <w:rFonts w:hint="eastAsia" w:ascii="Times New Roman" w:hAnsi="Times New Roman"/>
          <w:bCs/>
          <w:color w:val="000000" w:themeColor="text1"/>
          <w:sz w:val="28"/>
          <w:szCs w:val="28"/>
          <w:lang w:val="en-US" w:eastAsia="zh-CN"/>
          <w14:textFill>
            <w14:solidFill>
              <w14:schemeClr w14:val="tx1"/>
            </w14:solidFill>
          </w14:textFill>
        </w:rPr>
        <w:t xml:space="preserve">1 </w:t>
      </w:r>
      <w:r>
        <w:rPr>
          <w:rFonts w:hint="eastAsia" w:ascii="Times New Roman" w:hAnsi="Times New Roman"/>
          <w:bCs/>
          <w:color w:val="000000" w:themeColor="text1"/>
          <w:sz w:val="28"/>
          <w:szCs w:val="28"/>
          <w14:textFill>
            <w14:solidFill>
              <w14:schemeClr w14:val="tx1"/>
            </w14:solidFill>
          </w14:textFill>
        </w:rPr>
        <w:t>验收监测委托书</w:t>
      </w:r>
      <w:bookmarkEnd w:id="63"/>
    </w:p>
    <w:p w14:paraId="581BE48F">
      <w:pPr>
        <w:bidi w:val="0"/>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drawing>
          <wp:inline distT="0" distB="0" distL="114300" distR="114300">
            <wp:extent cx="5255260" cy="7691120"/>
            <wp:effectExtent l="0" t="0" r="2540" b="5080"/>
            <wp:docPr id="1" name="图片 1" descr="D:/阳峰资料/康立泰资料/委托书.jfif委托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阳峰资料/康立泰资料/委托书.jfif委托书"/>
                    <pic:cNvPicPr>
                      <a:picLocks noChangeAspect="1"/>
                    </pic:cNvPicPr>
                  </pic:nvPicPr>
                  <pic:blipFill>
                    <a:blip r:embed="rId22"/>
                    <a:srcRect t="423" b="423"/>
                    <a:stretch>
                      <a:fillRect/>
                    </a:stretch>
                  </pic:blipFill>
                  <pic:spPr>
                    <a:xfrm>
                      <a:off x="0" y="0"/>
                      <a:ext cx="5255260" cy="7691120"/>
                    </a:xfrm>
                    <a:prstGeom prst="rect">
                      <a:avLst/>
                    </a:prstGeom>
                    <a:noFill/>
                    <a:ln>
                      <a:noFill/>
                    </a:ln>
                  </pic:spPr>
                </pic:pic>
              </a:graphicData>
            </a:graphic>
          </wp:inline>
        </w:drawing>
      </w:r>
    </w:p>
    <w:p w14:paraId="501A2301">
      <w:pPr>
        <w:pStyle w:val="9"/>
        <w:outlineLvl w:val="1"/>
        <w:rPr>
          <w:rFonts w:hint="eastAsia" w:ascii="Times New Roman" w:hAnsi="Times New Roman" w:eastAsia="宋体" w:cs="Times New Roman"/>
          <w:bCs/>
          <w:color w:val="000000" w:themeColor="text1"/>
          <w:kern w:val="2"/>
          <w:sz w:val="28"/>
          <w:szCs w:val="28"/>
          <w:lang w:val="en-US" w:eastAsia="zh-CN" w:bidi="ar-SA"/>
          <w14:textFill>
            <w14:solidFill>
              <w14:schemeClr w14:val="tx1"/>
            </w14:solidFill>
          </w14:textFill>
        </w:rPr>
      </w:pPr>
      <w:bookmarkStart w:id="64" w:name="_Toc3964"/>
      <w:r>
        <w:rPr>
          <w:rFonts w:hint="eastAsia" w:ascii="Times New Roman" w:hAnsi="Times New Roman" w:eastAsia="宋体" w:cs="Times New Roman"/>
          <w:bCs/>
          <w:color w:val="000000" w:themeColor="text1"/>
          <w:kern w:val="2"/>
          <w:sz w:val="28"/>
          <w:szCs w:val="28"/>
          <w:lang w:val="en-US" w:eastAsia="zh-CN" w:bidi="ar-SA"/>
          <w14:textFill>
            <w14:solidFill>
              <w14:schemeClr w14:val="tx1"/>
            </w14:solidFill>
          </w14:textFill>
        </w:rPr>
        <w:t>附件</w:t>
      </w:r>
      <w:r>
        <w:rPr>
          <w:rFonts w:hint="eastAsia" w:ascii="Times New Roman" w:hAnsi="Times New Roman" w:cs="Times New Roman"/>
          <w:bCs/>
          <w:color w:val="000000" w:themeColor="text1"/>
          <w:kern w:val="2"/>
          <w:sz w:val="28"/>
          <w:szCs w:val="28"/>
          <w:lang w:val="en-US" w:eastAsia="zh-CN" w:bidi="ar-SA"/>
          <w14:textFill>
            <w14:solidFill>
              <w14:schemeClr w14:val="tx1"/>
            </w14:solidFill>
          </w14:textFill>
        </w:rPr>
        <w:t>2</w:t>
      </w:r>
      <w:r>
        <w:rPr>
          <w:rFonts w:hint="eastAsia" w:ascii="Times New Roman" w:hAnsi="Times New Roman" w:eastAsia="宋体" w:cs="Times New Roman"/>
          <w:bCs/>
          <w:color w:val="000000" w:themeColor="text1"/>
          <w:kern w:val="2"/>
          <w:sz w:val="28"/>
          <w:szCs w:val="28"/>
          <w:lang w:val="en-US" w:eastAsia="zh-CN" w:bidi="ar-SA"/>
          <w14:textFill>
            <w14:solidFill>
              <w14:schemeClr w14:val="tx1"/>
            </w14:solidFill>
          </w14:textFill>
        </w:rPr>
        <w:t xml:space="preserve"> 环评批复</w:t>
      </w:r>
      <w:bookmarkEnd w:id="64"/>
    </w:p>
    <w:p w14:paraId="6627D379">
      <w:pPr>
        <w:bidi w:val="0"/>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lang w:val="en-US" w:eastAsia="zh-CN"/>
        </w:rPr>
        <w:drawing>
          <wp:inline distT="0" distB="0" distL="114300" distR="114300">
            <wp:extent cx="5338445" cy="7320915"/>
            <wp:effectExtent l="0" t="0" r="14605" b="13335"/>
            <wp:docPr id="25" name="图片 25" descr="D:/阳峰资料/康立泰资料/环评批复-佛山康立泰数码科技有限公司江西分公司_01.png环评批复-佛山康立泰数码科技有限公司江西分公司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阳峰资料/康立泰资料/环评批复-佛山康立泰数码科技有限公司江西分公司_01.png环评批复-佛山康立泰数码科技有限公司江西分公司_01"/>
                    <pic:cNvPicPr>
                      <a:picLocks noChangeAspect="1"/>
                    </pic:cNvPicPr>
                  </pic:nvPicPr>
                  <pic:blipFill>
                    <a:blip r:embed="rId23"/>
                    <a:srcRect t="1523" b="1523"/>
                    <a:stretch>
                      <a:fillRect/>
                    </a:stretch>
                  </pic:blipFill>
                  <pic:spPr>
                    <a:xfrm>
                      <a:off x="0" y="0"/>
                      <a:ext cx="5338445" cy="7320915"/>
                    </a:xfrm>
                    <a:prstGeom prst="rect">
                      <a:avLst/>
                    </a:prstGeom>
                  </pic:spPr>
                </pic:pic>
              </a:graphicData>
            </a:graphic>
          </wp:inline>
        </w:drawing>
      </w:r>
      <w:r>
        <w:rPr>
          <w:rFonts w:hint="eastAsia"/>
          <w:lang w:val="en-US" w:eastAsia="zh-CN"/>
        </w:rPr>
        <w:drawing>
          <wp:inline distT="0" distB="0" distL="114300" distR="114300">
            <wp:extent cx="5269230" cy="7225665"/>
            <wp:effectExtent l="0" t="0" r="7620" b="13335"/>
            <wp:docPr id="29" name="图片 29" descr="D:/阳峰资料/康立泰资料/环评批复-佛山康立泰数码科技有限公司江西分公司_02.png环评批复-佛山康立泰数码科技有限公司江西分公司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阳峰资料/康立泰资料/环评批复-佛山康立泰数码科技有限公司江西分公司_02.png环评批复-佛山康立泰数码科技有限公司江西分公司_02"/>
                    <pic:cNvPicPr>
                      <a:picLocks noChangeAspect="1"/>
                    </pic:cNvPicPr>
                  </pic:nvPicPr>
                  <pic:blipFill>
                    <a:blip r:embed="rId24"/>
                    <a:srcRect t="1524" b="1524"/>
                    <a:stretch>
                      <a:fillRect/>
                    </a:stretch>
                  </pic:blipFill>
                  <pic:spPr>
                    <a:xfrm>
                      <a:off x="0" y="0"/>
                      <a:ext cx="5269230" cy="7225665"/>
                    </a:xfrm>
                    <a:prstGeom prst="rect">
                      <a:avLst/>
                    </a:prstGeom>
                  </pic:spPr>
                </pic:pic>
              </a:graphicData>
            </a:graphic>
          </wp:inline>
        </w:drawing>
      </w:r>
      <w:r>
        <w:rPr>
          <w:rFonts w:hint="eastAsia"/>
          <w:lang w:val="en-US" w:eastAsia="zh-CN"/>
        </w:rPr>
        <w:drawing>
          <wp:inline distT="0" distB="0" distL="114300" distR="114300">
            <wp:extent cx="5260340" cy="7439660"/>
            <wp:effectExtent l="0" t="0" r="16510" b="8890"/>
            <wp:docPr id="37" name="图片 37" descr="环评批复-佛山康立泰数码科技有限公司江西分公司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环评批复-佛山康立泰数码科技有限公司江西分公司_03"/>
                    <pic:cNvPicPr>
                      <a:picLocks noChangeAspect="1"/>
                    </pic:cNvPicPr>
                  </pic:nvPicPr>
                  <pic:blipFill>
                    <a:blip r:embed="rId25"/>
                    <a:stretch>
                      <a:fillRect/>
                    </a:stretch>
                  </pic:blipFill>
                  <pic:spPr>
                    <a:xfrm>
                      <a:off x="0" y="0"/>
                      <a:ext cx="5260340" cy="7439660"/>
                    </a:xfrm>
                    <a:prstGeom prst="rect">
                      <a:avLst/>
                    </a:prstGeom>
                  </pic:spPr>
                </pic:pic>
              </a:graphicData>
            </a:graphic>
          </wp:inline>
        </w:drawing>
      </w:r>
      <w:r>
        <w:rPr>
          <w:rFonts w:hint="eastAsia"/>
          <w:lang w:val="en-US" w:eastAsia="zh-CN"/>
        </w:rPr>
        <w:drawing>
          <wp:inline distT="0" distB="0" distL="114300" distR="114300">
            <wp:extent cx="5260340" cy="7439660"/>
            <wp:effectExtent l="0" t="0" r="16510" b="8890"/>
            <wp:docPr id="38" name="图片 38" descr="环评批复-佛山康立泰数码科技有限公司江西分公司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环评批复-佛山康立泰数码科技有限公司江西分公司_04"/>
                    <pic:cNvPicPr>
                      <a:picLocks noChangeAspect="1"/>
                    </pic:cNvPicPr>
                  </pic:nvPicPr>
                  <pic:blipFill>
                    <a:blip r:embed="rId26"/>
                    <a:stretch>
                      <a:fillRect/>
                    </a:stretch>
                  </pic:blipFill>
                  <pic:spPr>
                    <a:xfrm>
                      <a:off x="0" y="0"/>
                      <a:ext cx="5260340" cy="7439660"/>
                    </a:xfrm>
                    <a:prstGeom prst="rect">
                      <a:avLst/>
                    </a:prstGeom>
                  </pic:spPr>
                </pic:pic>
              </a:graphicData>
            </a:graphic>
          </wp:inline>
        </w:drawing>
      </w:r>
      <w:r>
        <w:rPr>
          <w:rFonts w:hint="eastAsia"/>
          <w:lang w:val="en-US" w:eastAsia="zh-CN"/>
        </w:rPr>
        <w:drawing>
          <wp:inline distT="0" distB="0" distL="114300" distR="114300">
            <wp:extent cx="5260340" cy="7439660"/>
            <wp:effectExtent l="0" t="0" r="16510" b="8890"/>
            <wp:docPr id="39" name="图片 39" descr="环评批复-佛山康立泰数码科技有限公司江西分公司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环评批复-佛山康立泰数码科技有限公司江西分公司_05"/>
                    <pic:cNvPicPr>
                      <a:picLocks noChangeAspect="1"/>
                    </pic:cNvPicPr>
                  </pic:nvPicPr>
                  <pic:blipFill>
                    <a:blip r:embed="rId27"/>
                    <a:stretch>
                      <a:fillRect/>
                    </a:stretch>
                  </pic:blipFill>
                  <pic:spPr>
                    <a:xfrm>
                      <a:off x="0" y="0"/>
                      <a:ext cx="5260340" cy="7439660"/>
                    </a:xfrm>
                    <a:prstGeom prst="rect">
                      <a:avLst/>
                    </a:prstGeom>
                  </pic:spPr>
                </pic:pic>
              </a:graphicData>
            </a:graphic>
          </wp:inline>
        </w:drawing>
      </w:r>
      <w:r>
        <w:rPr>
          <w:rFonts w:hint="eastAsia"/>
          <w:lang w:val="en-US" w:eastAsia="zh-CN"/>
        </w:rPr>
        <w:drawing>
          <wp:inline distT="0" distB="0" distL="114300" distR="114300">
            <wp:extent cx="5260340" cy="7439660"/>
            <wp:effectExtent l="0" t="0" r="16510" b="8890"/>
            <wp:docPr id="40" name="图片 40" descr="环评批复-佛山康立泰数码科技有限公司江西分公司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环评批复-佛山康立泰数码科技有限公司江西分公司_06"/>
                    <pic:cNvPicPr>
                      <a:picLocks noChangeAspect="1"/>
                    </pic:cNvPicPr>
                  </pic:nvPicPr>
                  <pic:blipFill>
                    <a:blip r:embed="rId28"/>
                    <a:stretch>
                      <a:fillRect/>
                    </a:stretch>
                  </pic:blipFill>
                  <pic:spPr>
                    <a:xfrm>
                      <a:off x="0" y="0"/>
                      <a:ext cx="5260340" cy="7439660"/>
                    </a:xfrm>
                    <a:prstGeom prst="rect">
                      <a:avLst/>
                    </a:prstGeom>
                  </pic:spPr>
                </pic:pic>
              </a:graphicData>
            </a:graphic>
          </wp:inline>
        </w:drawing>
      </w:r>
    </w:p>
    <w:p w14:paraId="3DE711E0">
      <w:pPr>
        <w:pStyle w:val="9"/>
        <w:outlineLvl w:val="1"/>
        <w:rPr>
          <w:rFonts w:hint="eastAsia" w:ascii="Times New Roman" w:hAnsi="Times New Roman" w:eastAsia="宋体" w:cs="Times New Roman"/>
          <w:bCs/>
          <w:color w:val="000000" w:themeColor="text1"/>
          <w:kern w:val="2"/>
          <w:sz w:val="28"/>
          <w:szCs w:val="28"/>
          <w:lang w:val="en-US" w:eastAsia="zh-CN" w:bidi="ar-SA"/>
          <w14:textFill>
            <w14:solidFill>
              <w14:schemeClr w14:val="tx1"/>
            </w14:solidFill>
          </w14:textFill>
        </w:rPr>
      </w:pPr>
      <w:bookmarkStart w:id="65" w:name="_Toc7744"/>
      <w:r>
        <w:rPr>
          <w:rFonts w:hint="eastAsia" w:ascii="Times New Roman" w:hAnsi="Times New Roman" w:eastAsia="宋体" w:cs="Times New Roman"/>
          <w:bCs/>
          <w:color w:val="000000" w:themeColor="text1"/>
          <w:kern w:val="2"/>
          <w:sz w:val="28"/>
          <w:szCs w:val="28"/>
          <w:lang w:val="en-US" w:eastAsia="zh-CN" w:bidi="ar-SA"/>
          <w14:textFill>
            <w14:solidFill>
              <w14:schemeClr w14:val="tx1"/>
            </w14:solidFill>
          </w14:textFill>
        </w:rPr>
        <w:t>附件</w:t>
      </w:r>
      <w:r>
        <w:rPr>
          <w:rFonts w:hint="eastAsia" w:ascii="Times New Roman" w:hAnsi="Times New Roman" w:cs="Times New Roman"/>
          <w:bCs/>
          <w:color w:val="000000" w:themeColor="text1"/>
          <w:kern w:val="2"/>
          <w:sz w:val="28"/>
          <w:szCs w:val="28"/>
          <w:lang w:val="en-US" w:eastAsia="zh-CN" w:bidi="ar-SA"/>
          <w14:textFill>
            <w14:solidFill>
              <w14:schemeClr w14:val="tx1"/>
            </w14:solidFill>
          </w14:textFill>
        </w:rPr>
        <w:t>3</w:t>
      </w:r>
      <w:r>
        <w:rPr>
          <w:rFonts w:hint="eastAsia" w:ascii="Times New Roman" w:hAnsi="Times New Roman" w:eastAsia="宋体" w:cs="Times New Roman"/>
          <w:bCs/>
          <w:color w:val="000000" w:themeColor="text1"/>
          <w:kern w:val="2"/>
          <w:sz w:val="28"/>
          <w:szCs w:val="28"/>
          <w:lang w:val="en-US" w:eastAsia="zh-CN" w:bidi="ar-SA"/>
          <w14:textFill>
            <w14:solidFill>
              <w14:schemeClr w14:val="tx1"/>
            </w14:solidFill>
          </w14:textFill>
        </w:rPr>
        <w:t xml:space="preserve"> 检测报告</w:t>
      </w:r>
      <w:bookmarkEnd w:id="65"/>
    </w:p>
    <w:p w14:paraId="5A56EEA0">
      <w:pPr>
        <w:rPr>
          <w:rFonts w:hint="eastAsia" w:eastAsia="宋体"/>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drawing>
          <wp:inline distT="0" distB="0" distL="114300" distR="114300">
            <wp:extent cx="5269230" cy="7452360"/>
            <wp:effectExtent l="0" t="0" r="7620" b="15240"/>
            <wp:docPr id="2" name="图片 2" descr="D:/阳峰资料/康立泰资料/20260708-02佛山康立泰数码科技有限公司江西分公司 (2)_01.png20260708-02佛山康立泰数码科技有限公司江西分公司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阳峰资料/康立泰资料/20260708-02佛山康立泰数码科技有限公司江西分公司 (2)_01.png20260708-02佛山康立泰数码科技有限公司江西分公司 (2)_01"/>
                    <pic:cNvPicPr>
                      <a:picLocks noChangeAspect="1"/>
                    </pic:cNvPicPr>
                  </pic:nvPicPr>
                  <pic:blipFill>
                    <a:blip r:embed="rId29"/>
                    <a:srcRect l="4" r="4"/>
                    <a:stretch>
                      <a:fillRect/>
                    </a:stretch>
                  </pic:blipFill>
                  <pic:spPr>
                    <a:xfrm>
                      <a:off x="0" y="0"/>
                      <a:ext cx="5269230" cy="7452360"/>
                    </a:xfrm>
                    <a:prstGeom prst="rect">
                      <a:avLst/>
                    </a:prstGeom>
                  </pic:spPr>
                </pic:pic>
              </a:graphicData>
            </a:graphic>
          </wp:inline>
        </w:drawing>
      </w:r>
      <w:r>
        <w:drawing>
          <wp:inline distT="0" distB="0" distL="114300" distR="114300">
            <wp:extent cx="5269230" cy="7452360"/>
            <wp:effectExtent l="0" t="0" r="7620" b="15240"/>
            <wp:docPr id="4" name="图片 4" descr="D:/阳峰资料/康立泰资料/20260708-02佛山康立泰数码科技有限公司江西分公司 (2)_02.png20260708-02佛山康立泰数码科技有限公司江西分公司 (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阳峰资料/康立泰资料/20260708-02佛山康立泰数码科技有限公司江西分公司 (2)_02.png20260708-02佛山康立泰数码科技有限公司江西分公司 (2)_02"/>
                    <pic:cNvPicPr>
                      <a:picLocks noChangeAspect="1"/>
                    </pic:cNvPicPr>
                  </pic:nvPicPr>
                  <pic:blipFill>
                    <a:blip r:embed="rId30"/>
                    <a:srcRect l="4" r="4"/>
                    <a:stretch>
                      <a:fillRect/>
                    </a:stretch>
                  </pic:blipFill>
                  <pic:spPr>
                    <a:xfrm>
                      <a:off x="0" y="0"/>
                      <a:ext cx="5269230" cy="7452360"/>
                    </a:xfrm>
                    <a:prstGeom prst="rect">
                      <a:avLst/>
                    </a:prstGeom>
                  </pic:spPr>
                </pic:pic>
              </a:graphicData>
            </a:graphic>
          </wp:inline>
        </w:drawing>
      </w:r>
      <w:r>
        <w:drawing>
          <wp:inline distT="0" distB="0" distL="114300" distR="114300">
            <wp:extent cx="5269230" cy="7452360"/>
            <wp:effectExtent l="0" t="0" r="7620" b="15240"/>
            <wp:docPr id="5" name="图片 5" descr="D:/阳峰资料/康立泰资料/20260708-02佛山康立泰数码科技有限公司江西分公司 (2)_03.png20260708-02佛山康立泰数码科技有限公司江西分公司 (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阳峰资料/康立泰资料/20260708-02佛山康立泰数码科技有限公司江西分公司 (2)_03.png20260708-02佛山康立泰数码科技有限公司江西分公司 (2)_03"/>
                    <pic:cNvPicPr>
                      <a:picLocks noChangeAspect="1"/>
                    </pic:cNvPicPr>
                  </pic:nvPicPr>
                  <pic:blipFill>
                    <a:blip r:embed="rId31"/>
                    <a:srcRect l="4" r="4"/>
                    <a:stretch>
                      <a:fillRect/>
                    </a:stretch>
                  </pic:blipFill>
                  <pic:spPr>
                    <a:xfrm>
                      <a:off x="0" y="0"/>
                      <a:ext cx="5269230" cy="7452360"/>
                    </a:xfrm>
                    <a:prstGeom prst="rect">
                      <a:avLst/>
                    </a:prstGeom>
                  </pic:spPr>
                </pic:pic>
              </a:graphicData>
            </a:graphic>
          </wp:inline>
        </w:drawing>
      </w:r>
      <w:r>
        <w:drawing>
          <wp:inline distT="0" distB="0" distL="114300" distR="114300">
            <wp:extent cx="5269230" cy="7452360"/>
            <wp:effectExtent l="0" t="0" r="7620" b="15240"/>
            <wp:docPr id="7" name="图片 7" descr="D:/阳峰资料/康立泰资料/20260708-02佛山康立泰数码科技有限公司江西分公司 (2)_04.png20260708-02佛山康立泰数码科技有限公司江西分公司 (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阳峰资料/康立泰资料/20260708-02佛山康立泰数码科技有限公司江西分公司 (2)_04.png20260708-02佛山康立泰数码科技有限公司江西分公司 (2)_04"/>
                    <pic:cNvPicPr>
                      <a:picLocks noChangeAspect="1"/>
                    </pic:cNvPicPr>
                  </pic:nvPicPr>
                  <pic:blipFill>
                    <a:blip r:embed="rId32"/>
                    <a:srcRect l="4" r="4"/>
                    <a:stretch>
                      <a:fillRect/>
                    </a:stretch>
                  </pic:blipFill>
                  <pic:spPr>
                    <a:xfrm>
                      <a:off x="0" y="0"/>
                      <a:ext cx="5269230" cy="7452360"/>
                    </a:xfrm>
                    <a:prstGeom prst="rect">
                      <a:avLst/>
                    </a:prstGeom>
                  </pic:spPr>
                </pic:pic>
              </a:graphicData>
            </a:graphic>
          </wp:inline>
        </w:drawing>
      </w:r>
      <w:r>
        <w:drawing>
          <wp:inline distT="0" distB="0" distL="114300" distR="114300">
            <wp:extent cx="5269230" cy="7452360"/>
            <wp:effectExtent l="0" t="0" r="7620" b="15240"/>
            <wp:docPr id="8" name="图片 8" descr="D:/阳峰资料/康立泰资料/20260708-02佛山康立泰数码科技有限公司江西分公司 (2)_05.png20260708-02佛山康立泰数码科技有限公司江西分公司 (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阳峰资料/康立泰资料/20260708-02佛山康立泰数码科技有限公司江西分公司 (2)_05.png20260708-02佛山康立泰数码科技有限公司江西分公司 (2)_05"/>
                    <pic:cNvPicPr>
                      <a:picLocks noChangeAspect="1"/>
                    </pic:cNvPicPr>
                  </pic:nvPicPr>
                  <pic:blipFill>
                    <a:blip r:embed="rId33"/>
                    <a:srcRect l="4" r="4"/>
                    <a:stretch>
                      <a:fillRect/>
                    </a:stretch>
                  </pic:blipFill>
                  <pic:spPr>
                    <a:xfrm>
                      <a:off x="0" y="0"/>
                      <a:ext cx="5269230" cy="7452360"/>
                    </a:xfrm>
                    <a:prstGeom prst="rect">
                      <a:avLst/>
                    </a:prstGeom>
                  </pic:spPr>
                </pic:pic>
              </a:graphicData>
            </a:graphic>
          </wp:inline>
        </w:drawing>
      </w:r>
      <w:r>
        <w:drawing>
          <wp:inline distT="0" distB="0" distL="114300" distR="114300">
            <wp:extent cx="5269230" cy="7452360"/>
            <wp:effectExtent l="0" t="0" r="7620" b="15240"/>
            <wp:docPr id="14" name="图片 14" descr="D:/阳峰资料/康立泰资料/20260708-02佛山康立泰数码科技有限公司江西分公司 (2)_06.png20260708-02佛山康立泰数码科技有限公司江西分公司 (2)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阳峰资料/康立泰资料/20260708-02佛山康立泰数码科技有限公司江西分公司 (2)_06.png20260708-02佛山康立泰数码科技有限公司江西分公司 (2)_06"/>
                    <pic:cNvPicPr>
                      <a:picLocks noChangeAspect="1"/>
                    </pic:cNvPicPr>
                  </pic:nvPicPr>
                  <pic:blipFill>
                    <a:blip r:embed="rId34"/>
                    <a:srcRect l="4" r="4"/>
                    <a:stretch>
                      <a:fillRect/>
                    </a:stretch>
                  </pic:blipFill>
                  <pic:spPr>
                    <a:xfrm>
                      <a:off x="0" y="0"/>
                      <a:ext cx="5269230" cy="7452360"/>
                    </a:xfrm>
                    <a:prstGeom prst="rect">
                      <a:avLst/>
                    </a:prstGeom>
                  </pic:spPr>
                </pic:pic>
              </a:graphicData>
            </a:graphic>
          </wp:inline>
        </w:drawing>
      </w:r>
      <w:r>
        <w:drawing>
          <wp:inline distT="0" distB="0" distL="114300" distR="114300">
            <wp:extent cx="5269230" cy="7452360"/>
            <wp:effectExtent l="0" t="0" r="7620" b="15240"/>
            <wp:docPr id="16" name="图片 16" descr="D:/阳峰资料/康立泰资料/20260708-02佛山康立泰数码科技有限公司江西分公司 (2)_07.png20260708-02佛山康立泰数码科技有限公司江西分公司 (2)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阳峰资料/康立泰资料/20260708-02佛山康立泰数码科技有限公司江西分公司 (2)_07.png20260708-02佛山康立泰数码科技有限公司江西分公司 (2)_07"/>
                    <pic:cNvPicPr>
                      <a:picLocks noChangeAspect="1"/>
                    </pic:cNvPicPr>
                  </pic:nvPicPr>
                  <pic:blipFill>
                    <a:blip r:embed="rId35"/>
                    <a:srcRect l="4" r="4"/>
                    <a:stretch>
                      <a:fillRect/>
                    </a:stretch>
                  </pic:blipFill>
                  <pic:spPr>
                    <a:xfrm>
                      <a:off x="0" y="0"/>
                      <a:ext cx="5269230" cy="7452360"/>
                    </a:xfrm>
                    <a:prstGeom prst="rect">
                      <a:avLst/>
                    </a:prstGeom>
                  </pic:spPr>
                </pic:pic>
              </a:graphicData>
            </a:graphic>
          </wp:inline>
        </w:drawing>
      </w:r>
      <w:r>
        <w:drawing>
          <wp:inline distT="0" distB="0" distL="114300" distR="114300">
            <wp:extent cx="5269230" cy="7452360"/>
            <wp:effectExtent l="0" t="0" r="7620" b="15240"/>
            <wp:docPr id="17" name="图片 17" descr="D:/阳峰资料/康立泰资料/20260708-02佛山康立泰数码科技有限公司江西分公司 (2)_08.png20260708-02佛山康立泰数码科技有限公司江西分公司 (2)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阳峰资料/康立泰资料/20260708-02佛山康立泰数码科技有限公司江西分公司 (2)_08.png20260708-02佛山康立泰数码科技有限公司江西分公司 (2)_08"/>
                    <pic:cNvPicPr>
                      <a:picLocks noChangeAspect="1"/>
                    </pic:cNvPicPr>
                  </pic:nvPicPr>
                  <pic:blipFill>
                    <a:blip r:embed="rId36"/>
                    <a:srcRect l="4" r="4"/>
                    <a:stretch>
                      <a:fillRect/>
                    </a:stretch>
                  </pic:blipFill>
                  <pic:spPr>
                    <a:xfrm>
                      <a:off x="0" y="0"/>
                      <a:ext cx="5269230" cy="7452360"/>
                    </a:xfrm>
                    <a:prstGeom prst="rect">
                      <a:avLst/>
                    </a:prstGeom>
                  </pic:spPr>
                </pic:pic>
              </a:graphicData>
            </a:graphic>
          </wp:inline>
        </w:drawing>
      </w:r>
    </w:p>
    <w:p w14:paraId="36CD828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default" w:ascii="Times New Roman" w:hAnsi="Times New Roman" w:eastAsia="宋体"/>
          <w:bCs/>
          <w:color w:val="000000" w:themeColor="text1"/>
          <w:sz w:val="28"/>
          <w:szCs w:val="28"/>
          <w:lang w:val="en-US" w:eastAsia="zh-CN"/>
          <w14:textFill>
            <w14:solidFill>
              <w14:schemeClr w14:val="tx1"/>
            </w14:solidFill>
          </w14:textFill>
        </w:rPr>
      </w:pPr>
      <w:bookmarkStart w:id="66" w:name="_Toc23099"/>
      <w:r>
        <w:rPr>
          <w:rFonts w:ascii="Times New Roman" w:hAnsi="Times New Roman"/>
          <w:bCs/>
          <w:color w:val="000000" w:themeColor="text1"/>
          <w:sz w:val="28"/>
          <w:szCs w:val="28"/>
          <w14:textFill>
            <w14:solidFill>
              <w14:schemeClr w14:val="tx1"/>
            </w14:solidFill>
          </w14:textFill>
        </w:rPr>
        <w:t>附件</w:t>
      </w:r>
      <w:r>
        <w:rPr>
          <w:rFonts w:hint="eastAsia" w:ascii="Times New Roman" w:hAnsi="Times New Roman"/>
          <w:bCs/>
          <w:color w:val="000000" w:themeColor="text1"/>
          <w:sz w:val="28"/>
          <w:szCs w:val="28"/>
          <w:lang w:val="en-US" w:eastAsia="zh-CN"/>
          <w14:textFill>
            <w14:solidFill>
              <w14:schemeClr w14:val="tx1"/>
            </w14:solidFill>
          </w14:textFill>
        </w:rPr>
        <w:t>4 排污登记回执</w:t>
      </w:r>
      <w:bookmarkEnd w:id="66"/>
    </w:p>
    <w:p w14:paraId="15A68601">
      <w:pPr>
        <w:bidi w:val="0"/>
        <w:rPr>
          <w:rFonts w:hint="eastAsia" w:eastAsia="宋体"/>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eastAsia="宋体"/>
          <w:lang w:eastAsia="zh-CN"/>
        </w:rPr>
        <w:drawing>
          <wp:inline distT="0" distB="0" distL="114300" distR="114300">
            <wp:extent cx="5271135" cy="7454900"/>
            <wp:effectExtent l="0" t="0" r="5715" b="12700"/>
            <wp:docPr id="43" name="图片 43" descr="D:/阳峰资料/康立泰资料/登记回执_01.png登记回执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阳峰资料/康立泰资料/登记回执_01.png登记回执_01"/>
                    <pic:cNvPicPr>
                      <a:picLocks noChangeAspect="1"/>
                    </pic:cNvPicPr>
                  </pic:nvPicPr>
                  <pic:blipFill>
                    <a:blip r:embed="rId37"/>
                    <a:srcRect l="4" r="4"/>
                    <a:stretch>
                      <a:fillRect/>
                    </a:stretch>
                  </pic:blipFill>
                  <pic:spPr>
                    <a:xfrm>
                      <a:off x="0" y="0"/>
                      <a:ext cx="5271135" cy="7454900"/>
                    </a:xfrm>
                    <a:prstGeom prst="rect">
                      <a:avLst/>
                    </a:prstGeom>
                  </pic:spPr>
                </pic:pic>
              </a:graphicData>
            </a:graphic>
          </wp:inline>
        </w:drawing>
      </w:r>
    </w:p>
    <w:p w14:paraId="64CD067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default" w:ascii="Times New Roman" w:hAnsi="Times New Roman" w:eastAsia="宋体"/>
          <w:bCs/>
          <w:color w:val="000000" w:themeColor="text1"/>
          <w:sz w:val="28"/>
          <w:szCs w:val="28"/>
          <w:lang w:val="en-US" w:eastAsia="zh-CN"/>
          <w14:textFill>
            <w14:solidFill>
              <w14:schemeClr w14:val="tx1"/>
            </w14:solidFill>
          </w14:textFill>
        </w:rPr>
      </w:pPr>
      <w:bookmarkStart w:id="67" w:name="_Toc10088"/>
      <w:r>
        <w:rPr>
          <w:rFonts w:ascii="Times New Roman" w:hAnsi="Times New Roman"/>
          <w:bCs/>
          <w:color w:val="000000" w:themeColor="text1"/>
          <w:sz w:val="28"/>
          <w:szCs w:val="28"/>
          <w14:textFill>
            <w14:solidFill>
              <w14:schemeClr w14:val="tx1"/>
            </w14:solidFill>
          </w14:textFill>
        </w:rPr>
        <w:t>附件</w:t>
      </w:r>
      <w:r>
        <w:rPr>
          <w:rFonts w:hint="eastAsia" w:ascii="Times New Roman" w:hAnsi="Times New Roman"/>
          <w:bCs/>
          <w:color w:val="000000" w:themeColor="text1"/>
          <w:sz w:val="28"/>
          <w:szCs w:val="28"/>
          <w:lang w:val="en-US" w:eastAsia="zh-CN"/>
          <w14:textFill>
            <w14:solidFill>
              <w14:schemeClr w14:val="tx1"/>
            </w14:solidFill>
          </w14:textFill>
        </w:rPr>
        <w:t>5 布袋除尘器调试及效果说明</w:t>
      </w:r>
      <w:bookmarkEnd w:id="67"/>
    </w:p>
    <w:p w14:paraId="3434823F">
      <w:pPr>
        <w:bidi w:val="0"/>
        <w:rPr>
          <w:rFonts w:hint="eastAsia" w:eastAsia="宋体"/>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eastAsia="宋体"/>
          <w:lang w:eastAsia="zh-CN"/>
        </w:rPr>
        <w:drawing>
          <wp:inline distT="0" distB="0" distL="114300" distR="114300">
            <wp:extent cx="5259070" cy="7443470"/>
            <wp:effectExtent l="0" t="0" r="17780" b="5080"/>
            <wp:docPr id="6" name="图片 6" descr="布袋除尘器调试及效果说明（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布袋除尘器调试及效果说明（1）_01"/>
                    <pic:cNvPicPr>
                      <a:picLocks noChangeAspect="1"/>
                    </pic:cNvPicPr>
                  </pic:nvPicPr>
                  <pic:blipFill>
                    <a:blip r:embed="rId38"/>
                    <a:stretch>
                      <a:fillRect/>
                    </a:stretch>
                  </pic:blipFill>
                  <pic:spPr>
                    <a:xfrm>
                      <a:off x="0" y="0"/>
                      <a:ext cx="5259070" cy="7443470"/>
                    </a:xfrm>
                    <a:prstGeom prst="rect">
                      <a:avLst/>
                    </a:prstGeom>
                  </pic:spPr>
                </pic:pic>
              </a:graphicData>
            </a:graphic>
          </wp:inline>
        </w:drawing>
      </w:r>
    </w:p>
    <w:p w14:paraId="6D87B7E5">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Times New Roman" w:hAnsi="Times New Roman"/>
          <w:bCs/>
          <w:color w:val="000000" w:themeColor="text1"/>
          <w:sz w:val="28"/>
          <w:szCs w:val="28"/>
          <w:lang w:eastAsia="zh-CN"/>
          <w14:textFill>
            <w14:solidFill>
              <w14:schemeClr w14:val="tx1"/>
            </w14:solidFill>
          </w14:textFill>
        </w:rPr>
      </w:pPr>
      <w:bookmarkStart w:id="68" w:name="_Toc20149"/>
      <w:r>
        <w:rPr>
          <w:rFonts w:ascii="Times New Roman" w:hAnsi="Times New Roman"/>
          <w:bCs/>
          <w:color w:val="000000" w:themeColor="text1"/>
          <w:sz w:val="28"/>
          <w:szCs w:val="28"/>
          <w14:textFill>
            <w14:solidFill>
              <w14:schemeClr w14:val="tx1"/>
            </w14:solidFill>
          </w14:textFill>
        </w:rPr>
        <w:t>附件</w:t>
      </w:r>
      <w:r>
        <w:rPr>
          <w:rFonts w:hint="eastAsia" w:ascii="Times New Roman" w:hAnsi="Times New Roman"/>
          <w:bCs/>
          <w:color w:val="000000" w:themeColor="text1"/>
          <w:sz w:val="28"/>
          <w:szCs w:val="28"/>
          <w:lang w:val="en-US" w:eastAsia="zh-CN"/>
          <w14:textFill>
            <w14:solidFill>
              <w14:schemeClr w14:val="tx1"/>
            </w14:solidFill>
          </w14:textFill>
        </w:rPr>
        <w:t>6</w:t>
      </w:r>
      <w:r>
        <w:rPr>
          <w:rFonts w:hint="eastAsia" w:ascii="Times New Roman" w:hAnsi="Times New Roman"/>
          <w:bCs/>
          <w:color w:val="000000" w:themeColor="text1"/>
          <w:sz w:val="28"/>
          <w:szCs w:val="28"/>
          <w14:textFill>
            <w14:solidFill>
              <w14:schemeClr w14:val="tx1"/>
            </w14:solidFill>
          </w14:textFill>
        </w:rPr>
        <w:t xml:space="preserve"> </w:t>
      </w:r>
      <w:r>
        <w:rPr>
          <w:rFonts w:hint="eastAsia" w:ascii="Times New Roman" w:hAnsi="Times New Roman"/>
          <w:bCs/>
          <w:color w:val="000000" w:themeColor="text1"/>
          <w:sz w:val="28"/>
          <w:szCs w:val="28"/>
          <w:lang w:val="en-US" w:eastAsia="zh-CN"/>
          <w14:textFill>
            <w14:solidFill>
              <w14:schemeClr w14:val="tx1"/>
            </w14:solidFill>
          </w14:textFill>
        </w:rPr>
        <w:t>工况证明</w:t>
      </w:r>
      <w:bookmarkEnd w:id="68"/>
    </w:p>
    <w:p w14:paraId="48DD4524">
      <w:pPr>
        <w:bidi w:val="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drawing>
          <wp:inline distT="0" distB="0" distL="114300" distR="114300">
            <wp:extent cx="5255895" cy="7575550"/>
            <wp:effectExtent l="0" t="0" r="1905" b="6350"/>
            <wp:docPr id="3" name="图片 2" descr="D:/阳峰资料/康立泰资料/工况证明_01.png工况证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D:/阳峰资料/康立泰资料/工况证明_01.png工况证明_01"/>
                    <pic:cNvPicPr>
                      <a:picLocks noChangeAspect="1"/>
                    </pic:cNvPicPr>
                  </pic:nvPicPr>
                  <pic:blipFill>
                    <a:blip r:embed="rId39"/>
                    <a:srcRect l="943" r="943"/>
                    <a:stretch>
                      <a:fillRect/>
                    </a:stretch>
                  </pic:blipFill>
                  <pic:spPr>
                    <a:xfrm>
                      <a:off x="0" y="0"/>
                      <a:ext cx="5255895" cy="7575550"/>
                    </a:xfrm>
                    <a:prstGeom prst="rect">
                      <a:avLst/>
                    </a:prstGeom>
                    <a:noFill/>
                    <a:ln>
                      <a:noFill/>
                    </a:ln>
                  </pic:spPr>
                </pic:pic>
              </a:graphicData>
            </a:graphic>
          </wp:inline>
        </w:drawing>
      </w:r>
    </w:p>
    <w:p w14:paraId="31A2C4AD">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Times New Roman" w:hAnsi="Times New Roman"/>
          <w:bCs/>
          <w:color w:val="000000" w:themeColor="text1"/>
          <w:sz w:val="28"/>
          <w:szCs w:val="28"/>
          <w:lang w:eastAsia="zh-CN"/>
          <w14:textFill>
            <w14:solidFill>
              <w14:schemeClr w14:val="tx1"/>
            </w14:solidFill>
          </w14:textFill>
        </w:rPr>
      </w:pPr>
      <w:bookmarkStart w:id="69" w:name="_Toc13764"/>
      <w:r>
        <w:rPr>
          <w:rFonts w:ascii="Times New Roman" w:hAnsi="Times New Roman"/>
          <w:bCs/>
          <w:color w:val="000000" w:themeColor="text1"/>
          <w:sz w:val="28"/>
          <w:szCs w:val="28"/>
          <w14:textFill>
            <w14:solidFill>
              <w14:schemeClr w14:val="tx1"/>
            </w14:solidFill>
          </w14:textFill>
        </w:rPr>
        <w:t>附件</w:t>
      </w:r>
      <w:r>
        <w:rPr>
          <w:rFonts w:hint="eastAsia" w:ascii="Times New Roman" w:hAnsi="Times New Roman"/>
          <w:bCs/>
          <w:color w:val="000000" w:themeColor="text1"/>
          <w:sz w:val="28"/>
          <w:szCs w:val="28"/>
          <w:lang w:val="en-US" w:eastAsia="zh-CN"/>
          <w14:textFill>
            <w14:solidFill>
              <w14:schemeClr w14:val="tx1"/>
            </w14:solidFill>
          </w14:textFill>
        </w:rPr>
        <w:t>7</w:t>
      </w:r>
      <w:r>
        <w:rPr>
          <w:rFonts w:hint="eastAsia" w:ascii="Times New Roman" w:hAnsi="Times New Roman"/>
          <w:bCs/>
          <w:color w:val="000000" w:themeColor="text1"/>
          <w:sz w:val="28"/>
          <w:szCs w:val="28"/>
          <w14:textFill>
            <w14:solidFill>
              <w14:schemeClr w14:val="tx1"/>
            </w14:solidFill>
          </w14:textFill>
        </w:rPr>
        <w:t xml:space="preserve"> </w:t>
      </w:r>
      <w:r>
        <w:rPr>
          <w:rFonts w:hint="eastAsia" w:ascii="Times New Roman" w:hAnsi="Times New Roman"/>
          <w:bCs/>
          <w:color w:val="000000" w:themeColor="text1"/>
          <w:sz w:val="28"/>
          <w:szCs w:val="28"/>
          <w:lang w:val="en-US" w:eastAsia="zh-CN"/>
          <w14:textFill>
            <w14:solidFill>
              <w14:schemeClr w14:val="tx1"/>
            </w14:solidFill>
          </w14:textFill>
        </w:rPr>
        <w:t>生活污水清掏证明</w:t>
      </w:r>
      <w:bookmarkEnd w:id="69"/>
    </w:p>
    <w:p w14:paraId="5CD95F3A">
      <w:pPr>
        <w:pStyle w:val="13"/>
        <w:spacing w:line="240" w:lineRule="auto"/>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default"/>
          <w:lang w:val="en-US" w:eastAsia="zh-CN"/>
        </w:rPr>
        <w:drawing>
          <wp:inline distT="0" distB="0" distL="114300" distR="114300">
            <wp:extent cx="5257800" cy="7233920"/>
            <wp:effectExtent l="0" t="0" r="0" b="5080"/>
            <wp:docPr id="15" name="图片 15" descr="4dd50b6147301e34bbd282b5ad308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dd50b6147301e34bbd282b5ad308c2"/>
                    <pic:cNvPicPr>
                      <a:picLocks noChangeAspect="1"/>
                    </pic:cNvPicPr>
                  </pic:nvPicPr>
                  <pic:blipFill>
                    <a:blip r:embed="rId40"/>
                    <a:stretch>
                      <a:fillRect/>
                    </a:stretch>
                  </pic:blipFill>
                  <pic:spPr>
                    <a:xfrm>
                      <a:off x="0" y="0"/>
                      <a:ext cx="5257800" cy="7233920"/>
                    </a:xfrm>
                    <a:prstGeom prst="rect">
                      <a:avLst/>
                    </a:prstGeom>
                  </pic:spPr>
                </pic:pic>
              </a:graphicData>
            </a:graphic>
          </wp:inline>
        </w:drawing>
      </w:r>
    </w:p>
    <w:p w14:paraId="611290F5">
      <w:pPr>
        <w:pStyle w:val="9"/>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Times New Roman" w:hAnsi="Times New Roman"/>
          <w:bCs/>
          <w:color w:val="000000" w:themeColor="text1"/>
          <w:sz w:val="28"/>
          <w:szCs w:val="28"/>
          <w:lang w:eastAsia="zh-CN"/>
          <w14:textFill>
            <w14:solidFill>
              <w14:schemeClr w14:val="tx1"/>
            </w14:solidFill>
          </w14:textFill>
        </w:rPr>
      </w:pPr>
      <w:bookmarkStart w:id="70" w:name="_Toc3430"/>
      <w:r>
        <w:rPr>
          <w:rFonts w:ascii="Times New Roman" w:hAnsi="Times New Roman"/>
          <w:bCs/>
          <w:color w:val="000000" w:themeColor="text1"/>
          <w:sz w:val="28"/>
          <w:szCs w:val="28"/>
          <w14:textFill>
            <w14:solidFill>
              <w14:schemeClr w14:val="tx1"/>
            </w14:solidFill>
          </w14:textFill>
        </w:rPr>
        <w:t>附件</w:t>
      </w:r>
      <w:r>
        <w:rPr>
          <w:rFonts w:hint="eastAsia" w:ascii="Times New Roman" w:hAnsi="Times New Roman"/>
          <w:bCs/>
          <w:color w:val="000000" w:themeColor="text1"/>
          <w:sz w:val="28"/>
          <w:szCs w:val="28"/>
          <w:lang w:val="en-US" w:eastAsia="zh-CN"/>
          <w14:textFill>
            <w14:solidFill>
              <w14:schemeClr w14:val="tx1"/>
            </w14:solidFill>
          </w14:textFill>
        </w:rPr>
        <w:t>8</w:t>
      </w:r>
      <w:r>
        <w:rPr>
          <w:rFonts w:hint="eastAsia" w:ascii="Times New Roman" w:hAnsi="Times New Roman"/>
          <w:bCs/>
          <w:color w:val="000000" w:themeColor="text1"/>
          <w:sz w:val="28"/>
          <w:szCs w:val="28"/>
          <w14:textFill>
            <w14:solidFill>
              <w14:schemeClr w14:val="tx1"/>
            </w14:solidFill>
          </w14:textFill>
        </w:rPr>
        <w:t xml:space="preserve"> </w:t>
      </w:r>
      <w:r>
        <w:rPr>
          <w:rFonts w:hint="eastAsia" w:ascii="Times New Roman" w:hAnsi="Times New Roman"/>
          <w:bCs/>
          <w:color w:val="000000" w:themeColor="text1"/>
          <w:sz w:val="28"/>
          <w:szCs w:val="28"/>
          <w:lang w:val="en-US" w:eastAsia="zh-CN"/>
          <w14:textFill>
            <w14:solidFill>
              <w14:schemeClr w14:val="tx1"/>
            </w14:solidFill>
          </w14:textFill>
        </w:rPr>
        <w:t>自主验收意见</w:t>
      </w:r>
      <w:bookmarkEnd w:id="70"/>
    </w:p>
    <w:p w14:paraId="21CAF40E">
      <w:pPr>
        <w:bidi w:val="0"/>
        <w:rPr>
          <w:rFonts w:hint="eastAsia"/>
          <w:lang w:eastAsia="zh-CN"/>
        </w:rPr>
      </w:pPr>
      <w:r>
        <w:rPr>
          <w:rFonts w:hint="eastAsia"/>
          <w:lang w:eastAsia="zh-CN"/>
        </w:rPr>
        <w:drawing>
          <wp:inline distT="0" distB="0" distL="114300" distR="114300">
            <wp:extent cx="5262245" cy="7441565"/>
            <wp:effectExtent l="0" t="0" r="14605" b="6985"/>
            <wp:docPr id="21" name="图片 21" descr="签字版-自主验收意见-康立泰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签字版-自主验收意见-康立泰_01"/>
                    <pic:cNvPicPr>
                      <a:picLocks noChangeAspect="1"/>
                    </pic:cNvPicPr>
                  </pic:nvPicPr>
                  <pic:blipFill>
                    <a:blip r:embed="rId41"/>
                    <a:stretch>
                      <a:fillRect/>
                    </a:stretch>
                  </pic:blipFill>
                  <pic:spPr>
                    <a:xfrm>
                      <a:off x="0" y="0"/>
                      <a:ext cx="5262245" cy="7441565"/>
                    </a:xfrm>
                    <a:prstGeom prst="rect">
                      <a:avLst/>
                    </a:prstGeom>
                  </pic:spPr>
                </pic:pic>
              </a:graphicData>
            </a:graphic>
          </wp:inline>
        </w:drawing>
      </w:r>
      <w:r>
        <w:rPr>
          <w:rFonts w:hint="eastAsia"/>
          <w:lang w:eastAsia="zh-CN"/>
        </w:rPr>
        <w:drawing>
          <wp:inline distT="0" distB="0" distL="114300" distR="114300">
            <wp:extent cx="5262245" cy="7441565"/>
            <wp:effectExtent l="0" t="0" r="14605" b="6985"/>
            <wp:docPr id="27" name="图片 27" descr="签字版-自主验收意见-康立泰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签字版-自主验收意见-康立泰_02"/>
                    <pic:cNvPicPr>
                      <a:picLocks noChangeAspect="1"/>
                    </pic:cNvPicPr>
                  </pic:nvPicPr>
                  <pic:blipFill>
                    <a:blip r:embed="rId42"/>
                    <a:stretch>
                      <a:fillRect/>
                    </a:stretch>
                  </pic:blipFill>
                  <pic:spPr>
                    <a:xfrm>
                      <a:off x="0" y="0"/>
                      <a:ext cx="5262245" cy="7441565"/>
                    </a:xfrm>
                    <a:prstGeom prst="rect">
                      <a:avLst/>
                    </a:prstGeom>
                  </pic:spPr>
                </pic:pic>
              </a:graphicData>
            </a:graphic>
          </wp:inline>
        </w:drawing>
      </w:r>
      <w:r>
        <w:rPr>
          <w:rFonts w:hint="eastAsia"/>
          <w:lang w:eastAsia="zh-CN"/>
        </w:rPr>
        <w:drawing>
          <wp:inline distT="0" distB="0" distL="114300" distR="114300">
            <wp:extent cx="5262245" cy="7441565"/>
            <wp:effectExtent l="0" t="0" r="14605" b="6985"/>
            <wp:docPr id="28" name="图片 28" descr="签字版-自主验收意见-康立泰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签字版-自主验收意见-康立泰_03"/>
                    <pic:cNvPicPr>
                      <a:picLocks noChangeAspect="1"/>
                    </pic:cNvPicPr>
                  </pic:nvPicPr>
                  <pic:blipFill>
                    <a:blip r:embed="rId43"/>
                    <a:stretch>
                      <a:fillRect/>
                    </a:stretch>
                  </pic:blipFill>
                  <pic:spPr>
                    <a:xfrm>
                      <a:off x="0" y="0"/>
                      <a:ext cx="5262245" cy="7441565"/>
                    </a:xfrm>
                    <a:prstGeom prst="rect">
                      <a:avLst/>
                    </a:prstGeom>
                  </pic:spPr>
                </pic:pic>
              </a:graphicData>
            </a:graphic>
          </wp:inline>
        </w:drawing>
      </w:r>
      <w:r>
        <w:rPr>
          <w:rFonts w:hint="eastAsia"/>
          <w:lang w:eastAsia="zh-CN"/>
        </w:rPr>
        <w:drawing>
          <wp:inline distT="0" distB="0" distL="114300" distR="114300">
            <wp:extent cx="5262245" cy="7441565"/>
            <wp:effectExtent l="0" t="0" r="14605" b="6985"/>
            <wp:docPr id="30" name="图片 30" descr="签字版-自主验收意见-康立泰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签字版-自主验收意见-康立泰_04"/>
                    <pic:cNvPicPr>
                      <a:picLocks noChangeAspect="1"/>
                    </pic:cNvPicPr>
                  </pic:nvPicPr>
                  <pic:blipFill>
                    <a:blip r:embed="rId44"/>
                    <a:stretch>
                      <a:fillRect/>
                    </a:stretch>
                  </pic:blipFill>
                  <pic:spPr>
                    <a:xfrm>
                      <a:off x="0" y="0"/>
                      <a:ext cx="5262245" cy="7441565"/>
                    </a:xfrm>
                    <a:prstGeom prst="rect">
                      <a:avLst/>
                    </a:prstGeom>
                  </pic:spPr>
                </pic:pic>
              </a:graphicData>
            </a:graphic>
          </wp:inline>
        </w:drawing>
      </w:r>
      <w:r>
        <w:rPr>
          <w:rFonts w:hint="eastAsia"/>
          <w:lang w:eastAsia="zh-CN"/>
        </w:rPr>
        <w:drawing>
          <wp:inline distT="0" distB="0" distL="114300" distR="114300">
            <wp:extent cx="5262245" cy="7441565"/>
            <wp:effectExtent l="0" t="0" r="14605" b="6985"/>
            <wp:docPr id="31" name="图片 31" descr="签字版-自主验收意见-康立泰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签字版-自主验收意见-康立泰_05"/>
                    <pic:cNvPicPr>
                      <a:picLocks noChangeAspect="1"/>
                    </pic:cNvPicPr>
                  </pic:nvPicPr>
                  <pic:blipFill>
                    <a:blip r:embed="rId45"/>
                    <a:stretch>
                      <a:fillRect/>
                    </a:stretch>
                  </pic:blipFill>
                  <pic:spPr>
                    <a:xfrm>
                      <a:off x="0" y="0"/>
                      <a:ext cx="5262245" cy="7441565"/>
                    </a:xfrm>
                    <a:prstGeom prst="rect">
                      <a:avLst/>
                    </a:prstGeom>
                  </pic:spPr>
                </pic:pic>
              </a:graphicData>
            </a:graphic>
          </wp:inline>
        </w:drawing>
      </w:r>
      <w:r>
        <w:rPr>
          <w:rFonts w:hint="eastAsia"/>
          <w:lang w:eastAsia="zh-CN"/>
        </w:rPr>
        <w:drawing>
          <wp:inline distT="0" distB="0" distL="114300" distR="114300">
            <wp:extent cx="5260340" cy="7439660"/>
            <wp:effectExtent l="0" t="0" r="16510" b="8890"/>
            <wp:docPr id="32" name="图片 32" descr="验收签到表-康立泰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验收签到表-康立泰_01"/>
                    <pic:cNvPicPr>
                      <a:picLocks noChangeAspect="1"/>
                    </pic:cNvPicPr>
                  </pic:nvPicPr>
                  <pic:blipFill>
                    <a:blip r:embed="rId46"/>
                    <a:stretch>
                      <a:fillRect/>
                    </a:stretch>
                  </pic:blipFill>
                  <pic:spPr>
                    <a:xfrm>
                      <a:off x="0" y="0"/>
                      <a:ext cx="5260340" cy="7439660"/>
                    </a:xfrm>
                    <a:prstGeom prst="rect">
                      <a:avLst/>
                    </a:prstGeom>
                  </pic:spPr>
                </pic:pic>
              </a:graphicData>
            </a:graphic>
          </wp:inline>
        </w:drawing>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新魏">
    <w:altName w:val="宋体"/>
    <w:panose1 w:val="0201080004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FEDDC">
    <w:pPr>
      <w:pStyle w:val="18"/>
      <w:tabs>
        <w:tab w:val="center" w:pos="4150"/>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0876F">
    <w:pPr>
      <w:pStyle w:val="18"/>
      <w:tabs>
        <w:tab w:val="center" w:pos="4150"/>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9BBE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17C9BBED">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A66C">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C0B39">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6D3606"/>
    <w:multiLevelType w:val="singleLevel"/>
    <w:tmpl w:val="536D3606"/>
    <w:lvl w:ilvl="0" w:tentative="0">
      <w:start w:val="4"/>
      <w:numFmt w:val="decimal"/>
      <w:suff w:val="nothing"/>
      <w:lvlText w:val="（%1）"/>
      <w:lvlJc w:val="left"/>
    </w:lvl>
  </w:abstractNum>
  <w:abstractNum w:abstractNumId="1">
    <w:nsid w:val="683A8383"/>
    <w:multiLevelType w:val="singleLevel"/>
    <w:tmpl w:val="683A838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kZWZmNzY3ODk3YmYzN2RiNTAxZDk1YjEwZTFiYjUifQ=="/>
    <w:docVar w:name="KSO_WPS_MARK_KEY" w:val="b679ebf9-e890-4207-a9ff-0c33b5ed6277"/>
  </w:docVars>
  <w:rsids>
    <w:rsidRoot w:val="2B2C75EE"/>
    <w:rsid w:val="001B0EAF"/>
    <w:rsid w:val="001D1050"/>
    <w:rsid w:val="003B6BE4"/>
    <w:rsid w:val="00C30928"/>
    <w:rsid w:val="00C94E36"/>
    <w:rsid w:val="00FC6D1E"/>
    <w:rsid w:val="01094FB2"/>
    <w:rsid w:val="014451C1"/>
    <w:rsid w:val="014E16E8"/>
    <w:rsid w:val="014E2492"/>
    <w:rsid w:val="01594D7F"/>
    <w:rsid w:val="01747C91"/>
    <w:rsid w:val="018E36E1"/>
    <w:rsid w:val="01C03B76"/>
    <w:rsid w:val="01C27A46"/>
    <w:rsid w:val="01C931B7"/>
    <w:rsid w:val="020B5B51"/>
    <w:rsid w:val="021D07D6"/>
    <w:rsid w:val="02262580"/>
    <w:rsid w:val="02455CBA"/>
    <w:rsid w:val="02470C0E"/>
    <w:rsid w:val="02551E03"/>
    <w:rsid w:val="025B2B66"/>
    <w:rsid w:val="02726264"/>
    <w:rsid w:val="02786EB3"/>
    <w:rsid w:val="02933A13"/>
    <w:rsid w:val="02DE082B"/>
    <w:rsid w:val="030B3FD3"/>
    <w:rsid w:val="030F6B80"/>
    <w:rsid w:val="03467824"/>
    <w:rsid w:val="03690A28"/>
    <w:rsid w:val="036C3396"/>
    <w:rsid w:val="037A5526"/>
    <w:rsid w:val="03A04EFA"/>
    <w:rsid w:val="03D358A5"/>
    <w:rsid w:val="03DA17CE"/>
    <w:rsid w:val="03FD2A95"/>
    <w:rsid w:val="04053326"/>
    <w:rsid w:val="042D2079"/>
    <w:rsid w:val="043D7D0C"/>
    <w:rsid w:val="04805E6B"/>
    <w:rsid w:val="04A71F0C"/>
    <w:rsid w:val="04A92988"/>
    <w:rsid w:val="04CA029F"/>
    <w:rsid w:val="04F62266"/>
    <w:rsid w:val="04FD04A3"/>
    <w:rsid w:val="050A1493"/>
    <w:rsid w:val="05263C34"/>
    <w:rsid w:val="054A6932"/>
    <w:rsid w:val="05927EFD"/>
    <w:rsid w:val="05D77685"/>
    <w:rsid w:val="05E12B0E"/>
    <w:rsid w:val="060A09EA"/>
    <w:rsid w:val="061C3A8B"/>
    <w:rsid w:val="062041E4"/>
    <w:rsid w:val="0625029E"/>
    <w:rsid w:val="06454D82"/>
    <w:rsid w:val="06746C19"/>
    <w:rsid w:val="067C2943"/>
    <w:rsid w:val="06B76559"/>
    <w:rsid w:val="06C32B05"/>
    <w:rsid w:val="06EC7916"/>
    <w:rsid w:val="074C65D9"/>
    <w:rsid w:val="07623220"/>
    <w:rsid w:val="07660C11"/>
    <w:rsid w:val="077E5782"/>
    <w:rsid w:val="078715C6"/>
    <w:rsid w:val="07B03EC5"/>
    <w:rsid w:val="07B37F35"/>
    <w:rsid w:val="07F01DF6"/>
    <w:rsid w:val="08114F51"/>
    <w:rsid w:val="08281BA9"/>
    <w:rsid w:val="08324DF4"/>
    <w:rsid w:val="0861371C"/>
    <w:rsid w:val="087E67C5"/>
    <w:rsid w:val="08CB5E3E"/>
    <w:rsid w:val="08CC548E"/>
    <w:rsid w:val="08FA17D2"/>
    <w:rsid w:val="09133FB2"/>
    <w:rsid w:val="0937054E"/>
    <w:rsid w:val="097D1628"/>
    <w:rsid w:val="0A0A00B0"/>
    <w:rsid w:val="0A166990"/>
    <w:rsid w:val="0A2056AB"/>
    <w:rsid w:val="0A27615B"/>
    <w:rsid w:val="0A2C103B"/>
    <w:rsid w:val="0A2E19D8"/>
    <w:rsid w:val="0AAF4CDA"/>
    <w:rsid w:val="0AB057F0"/>
    <w:rsid w:val="0ACA5C93"/>
    <w:rsid w:val="0AD00D50"/>
    <w:rsid w:val="0ADB3C8F"/>
    <w:rsid w:val="0AEE253B"/>
    <w:rsid w:val="0AF37B34"/>
    <w:rsid w:val="0B122F91"/>
    <w:rsid w:val="0B1B0567"/>
    <w:rsid w:val="0B277F21"/>
    <w:rsid w:val="0B3A4060"/>
    <w:rsid w:val="0B423C57"/>
    <w:rsid w:val="0BE43D25"/>
    <w:rsid w:val="0BEA54BC"/>
    <w:rsid w:val="0C0D34DB"/>
    <w:rsid w:val="0C1A115B"/>
    <w:rsid w:val="0C2C5343"/>
    <w:rsid w:val="0C533D21"/>
    <w:rsid w:val="0C5B4962"/>
    <w:rsid w:val="0C5C38D1"/>
    <w:rsid w:val="0C9A198B"/>
    <w:rsid w:val="0CA957A2"/>
    <w:rsid w:val="0CBF7BA0"/>
    <w:rsid w:val="0D2336CE"/>
    <w:rsid w:val="0D3D2B82"/>
    <w:rsid w:val="0D4C61DF"/>
    <w:rsid w:val="0D8C2271"/>
    <w:rsid w:val="0DAF2865"/>
    <w:rsid w:val="0DAF5308"/>
    <w:rsid w:val="0DB23F52"/>
    <w:rsid w:val="0DEC7CA3"/>
    <w:rsid w:val="0DF145FD"/>
    <w:rsid w:val="0DFA35A1"/>
    <w:rsid w:val="0E0448D9"/>
    <w:rsid w:val="0E0E67CB"/>
    <w:rsid w:val="0E226FE4"/>
    <w:rsid w:val="0E280805"/>
    <w:rsid w:val="0E32162A"/>
    <w:rsid w:val="0E4129E2"/>
    <w:rsid w:val="0E4A2A3F"/>
    <w:rsid w:val="0E5B3ED9"/>
    <w:rsid w:val="0E5E0B84"/>
    <w:rsid w:val="0E855ADB"/>
    <w:rsid w:val="0EBF35EF"/>
    <w:rsid w:val="0EE70EAE"/>
    <w:rsid w:val="0F03183A"/>
    <w:rsid w:val="0F294E36"/>
    <w:rsid w:val="0F2B7B75"/>
    <w:rsid w:val="0F574AED"/>
    <w:rsid w:val="0F5B660E"/>
    <w:rsid w:val="0F625A05"/>
    <w:rsid w:val="0F871930"/>
    <w:rsid w:val="0FC75740"/>
    <w:rsid w:val="0FCE23C9"/>
    <w:rsid w:val="1019180C"/>
    <w:rsid w:val="106910DC"/>
    <w:rsid w:val="10735CD6"/>
    <w:rsid w:val="10805171"/>
    <w:rsid w:val="108C39B9"/>
    <w:rsid w:val="109941C5"/>
    <w:rsid w:val="10BF10E1"/>
    <w:rsid w:val="10F14992"/>
    <w:rsid w:val="11006DE7"/>
    <w:rsid w:val="112C13B9"/>
    <w:rsid w:val="11374B9C"/>
    <w:rsid w:val="116B0AB3"/>
    <w:rsid w:val="11711069"/>
    <w:rsid w:val="117E185E"/>
    <w:rsid w:val="11833881"/>
    <w:rsid w:val="11D4747A"/>
    <w:rsid w:val="11DF6A9F"/>
    <w:rsid w:val="11E1398A"/>
    <w:rsid w:val="11F94FA0"/>
    <w:rsid w:val="121C6B67"/>
    <w:rsid w:val="121D795A"/>
    <w:rsid w:val="122C1B04"/>
    <w:rsid w:val="125373FF"/>
    <w:rsid w:val="12737CA1"/>
    <w:rsid w:val="1276782B"/>
    <w:rsid w:val="128533DB"/>
    <w:rsid w:val="128E7926"/>
    <w:rsid w:val="129C5243"/>
    <w:rsid w:val="12A9628F"/>
    <w:rsid w:val="12D73989"/>
    <w:rsid w:val="13062E2D"/>
    <w:rsid w:val="1314715D"/>
    <w:rsid w:val="131B0507"/>
    <w:rsid w:val="132134D2"/>
    <w:rsid w:val="132C01D7"/>
    <w:rsid w:val="1343377C"/>
    <w:rsid w:val="13505A7A"/>
    <w:rsid w:val="135770E1"/>
    <w:rsid w:val="139A5813"/>
    <w:rsid w:val="13B93641"/>
    <w:rsid w:val="13FE16CD"/>
    <w:rsid w:val="143F5C35"/>
    <w:rsid w:val="149F5FEC"/>
    <w:rsid w:val="14A64320"/>
    <w:rsid w:val="14DF5584"/>
    <w:rsid w:val="150D4FF5"/>
    <w:rsid w:val="15125EEC"/>
    <w:rsid w:val="1516291C"/>
    <w:rsid w:val="152D0C2F"/>
    <w:rsid w:val="15434939"/>
    <w:rsid w:val="15585D2F"/>
    <w:rsid w:val="156D0287"/>
    <w:rsid w:val="157A413B"/>
    <w:rsid w:val="158E41D7"/>
    <w:rsid w:val="15A047F3"/>
    <w:rsid w:val="15B82EB2"/>
    <w:rsid w:val="15D112CF"/>
    <w:rsid w:val="15DC12F2"/>
    <w:rsid w:val="15DE6AC7"/>
    <w:rsid w:val="16142700"/>
    <w:rsid w:val="162B0A59"/>
    <w:rsid w:val="1652477F"/>
    <w:rsid w:val="16C06CAD"/>
    <w:rsid w:val="16C14E1A"/>
    <w:rsid w:val="16C320BC"/>
    <w:rsid w:val="16CF0408"/>
    <w:rsid w:val="16D35516"/>
    <w:rsid w:val="16EF4F60"/>
    <w:rsid w:val="16F85BBE"/>
    <w:rsid w:val="170A4221"/>
    <w:rsid w:val="171A2FF5"/>
    <w:rsid w:val="173739A8"/>
    <w:rsid w:val="173935AB"/>
    <w:rsid w:val="17674378"/>
    <w:rsid w:val="176A7522"/>
    <w:rsid w:val="177F44F7"/>
    <w:rsid w:val="17854713"/>
    <w:rsid w:val="17AE4B4F"/>
    <w:rsid w:val="17BC71AE"/>
    <w:rsid w:val="17E146CD"/>
    <w:rsid w:val="18006153"/>
    <w:rsid w:val="180E4853"/>
    <w:rsid w:val="183151DA"/>
    <w:rsid w:val="185124D9"/>
    <w:rsid w:val="18A75E32"/>
    <w:rsid w:val="18D11A2A"/>
    <w:rsid w:val="192D00FA"/>
    <w:rsid w:val="1960615D"/>
    <w:rsid w:val="1965495F"/>
    <w:rsid w:val="196B3587"/>
    <w:rsid w:val="196D20FA"/>
    <w:rsid w:val="199A326F"/>
    <w:rsid w:val="19BA7187"/>
    <w:rsid w:val="19C50A9F"/>
    <w:rsid w:val="19D635E2"/>
    <w:rsid w:val="19FB4811"/>
    <w:rsid w:val="19FC6763"/>
    <w:rsid w:val="1A275E1A"/>
    <w:rsid w:val="1A2856DE"/>
    <w:rsid w:val="1A7B1B5B"/>
    <w:rsid w:val="1A914743"/>
    <w:rsid w:val="1A930EF5"/>
    <w:rsid w:val="1AB2567E"/>
    <w:rsid w:val="1ADF0451"/>
    <w:rsid w:val="1AED0C1E"/>
    <w:rsid w:val="1AF33F35"/>
    <w:rsid w:val="1B1430B8"/>
    <w:rsid w:val="1B2044C0"/>
    <w:rsid w:val="1B426045"/>
    <w:rsid w:val="1B791929"/>
    <w:rsid w:val="1B802443"/>
    <w:rsid w:val="1BBB70C2"/>
    <w:rsid w:val="1C2F255E"/>
    <w:rsid w:val="1C6F7089"/>
    <w:rsid w:val="1C762318"/>
    <w:rsid w:val="1C8416D6"/>
    <w:rsid w:val="1CAD1404"/>
    <w:rsid w:val="1CAF1831"/>
    <w:rsid w:val="1CBC4BAF"/>
    <w:rsid w:val="1CE76A55"/>
    <w:rsid w:val="1CFD3F16"/>
    <w:rsid w:val="1D07666C"/>
    <w:rsid w:val="1D5771B2"/>
    <w:rsid w:val="1D5F4338"/>
    <w:rsid w:val="1D633D95"/>
    <w:rsid w:val="1D637E6D"/>
    <w:rsid w:val="1D7628AA"/>
    <w:rsid w:val="1D856ED4"/>
    <w:rsid w:val="1D9D6225"/>
    <w:rsid w:val="1D9E7A46"/>
    <w:rsid w:val="1DA82FA2"/>
    <w:rsid w:val="1DB13CC4"/>
    <w:rsid w:val="1DB50E22"/>
    <w:rsid w:val="1DCD5871"/>
    <w:rsid w:val="1DD000A9"/>
    <w:rsid w:val="1DE85103"/>
    <w:rsid w:val="1DEB0E95"/>
    <w:rsid w:val="1E082C2F"/>
    <w:rsid w:val="1E0F54BD"/>
    <w:rsid w:val="1E3D4576"/>
    <w:rsid w:val="1E7943AE"/>
    <w:rsid w:val="1E7E4DC1"/>
    <w:rsid w:val="1E997C1C"/>
    <w:rsid w:val="1EB1492B"/>
    <w:rsid w:val="1EE9471D"/>
    <w:rsid w:val="1F2B7F58"/>
    <w:rsid w:val="1F667D33"/>
    <w:rsid w:val="1F6E313C"/>
    <w:rsid w:val="1F913D0E"/>
    <w:rsid w:val="1FC11A0F"/>
    <w:rsid w:val="1FC37D79"/>
    <w:rsid w:val="1FCE68C9"/>
    <w:rsid w:val="1FE668C5"/>
    <w:rsid w:val="1FEB30C8"/>
    <w:rsid w:val="1FF148FF"/>
    <w:rsid w:val="20182ED0"/>
    <w:rsid w:val="2023645D"/>
    <w:rsid w:val="206541F5"/>
    <w:rsid w:val="209E215A"/>
    <w:rsid w:val="20B17D9A"/>
    <w:rsid w:val="20B74081"/>
    <w:rsid w:val="20C1085A"/>
    <w:rsid w:val="20D14E54"/>
    <w:rsid w:val="20D40863"/>
    <w:rsid w:val="20DF78BF"/>
    <w:rsid w:val="20F42494"/>
    <w:rsid w:val="20F75FD3"/>
    <w:rsid w:val="21203EE1"/>
    <w:rsid w:val="2125701E"/>
    <w:rsid w:val="21383ECE"/>
    <w:rsid w:val="218E3B2C"/>
    <w:rsid w:val="219F20E3"/>
    <w:rsid w:val="21B82A68"/>
    <w:rsid w:val="21DD445B"/>
    <w:rsid w:val="21F53878"/>
    <w:rsid w:val="220E447B"/>
    <w:rsid w:val="22146A0A"/>
    <w:rsid w:val="22403761"/>
    <w:rsid w:val="22417B16"/>
    <w:rsid w:val="224D4035"/>
    <w:rsid w:val="227C3EFF"/>
    <w:rsid w:val="22AB56AC"/>
    <w:rsid w:val="231741FE"/>
    <w:rsid w:val="232D18B9"/>
    <w:rsid w:val="23311642"/>
    <w:rsid w:val="2358799F"/>
    <w:rsid w:val="237231DC"/>
    <w:rsid w:val="23815673"/>
    <w:rsid w:val="23927C51"/>
    <w:rsid w:val="239D300F"/>
    <w:rsid w:val="23A51524"/>
    <w:rsid w:val="23B32B30"/>
    <w:rsid w:val="23D07123"/>
    <w:rsid w:val="23FF6A54"/>
    <w:rsid w:val="24267108"/>
    <w:rsid w:val="24446163"/>
    <w:rsid w:val="24507443"/>
    <w:rsid w:val="248F5CCB"/>
    <w:rsid w:val="249F7680"/>
    <w:rsid w:val="24AD0389"/>
    <w:rsid w:val="24C51980"/>
    <w:rsid w:val="24E0463D"/>
    <w:rsid w:val="24E649E0"/>
    <w:rsid w:val="255549CD"/>
    <w:rsid w:val="2555690D"/>
    <w:rsid w:val="25D02118"/>
    <w:rsid w:val="25E30BD4"/>
    <w:rsid w:val="25ED1D42"/>
    <w:rsid w:val="25FB640D"/>
    <w:rsid w:val="261637D5"/>
    <w:rsid w:val="262019DF"/>
    <w:rsid w:val="262C29E8"/>
    <w:rsid w:val="26590CE6"/>
    <w:rsid w:val="2689341E"/>
    <w:rsid w:val="26B37085"/>
    <w:rsid w:val="26C666B7"/>
    <w:rsid w:val="26CC07B8"/>
    <w:rsid w:val="271D0269"/>
    <w:rsid w:val="273F6511"/>
    <w:rsid w:val="27481BCA"/>
    <w:rsid w:val="274C12C4"/>
    <w:rsid w:val="275655E8"/>
    <w:rsid w:val="27734F74"/>
    <w:rsid w:val="27AC6B22"/>
    <w:rsid w:val="27BE72CC"/>
    <w:rsid w:val="27CB4A96"/>
    <w:rsid w:val="283644BD"/>
    <w:rsid w:val="28396659"/>
    <w:rsid w:val="28456B70"/>
    <w:rsid w:val="286B6C18"/>
    <w:rsid w:val="288051AB"/>
    <w:rsid w:val="288632AC"/>
    <w:rsid w:val="28964D79"/>
    <w:rsid w:val="28977A5E"/>
    <w:rsid w:val="28BA0815"/>
    <w:rsid w:val="28C32FF7"/>
    <w:rsid w:val="28CB0906"/>
    <w:rsid w:val="28CE7357"/>
    <w:rsid w:val="29233D8C"/>
    <w:rsid w:val="2926475F"/>
    <w:rsid w:val="293A2F3C"/>
    <w:rsid w:val="297B3B4F"/>
    <w:rsid w:val="29B5431E"/>
    <w:rsid w:val="29C421EF"/>
    <w:rsid w:val="29FE0C7C"/>
    <w:rsid w:val="2A275937"/>
    <w:rsid w:val="2A2A2219"/>
    <w:rsid w:val="2A3A73FE"/>
    <w:rsid w:val="2A742A48"/>
    <w:rsid w:val="2A8D10D3"/>
    <w:rsid w:val="2A9F5B57"/>
    <w:rsid w:val="2AB56A7F"/>
    <w:rsid w:val="2AF16848"/>
    <w:rsid w:val="2B2C75EE"/>
    <w:rsid w:val="2B5D0079"/>
    <w:rsid w:val="2B642816"/>
    <w:rsid w:val="2BA9185D"/>
    <w:rsid w:val="2BAB15FF"/>
    <w:rsid w:val="2BD93A61"/>
    <w:rsid w:val="2C0137CD"/>
    <w:rsid w:val="2C0D09AB"/>
    <w:rsid w:val="2C391A01"/>
    <w:rsid w:val="2C515364"/>
    <w:rsid w:val="2C910F16"/>
    <w:rsid w:val="2C9D5A0A"/>
    <w:rsid w:val="2CAA0F5F"/>
    <w:rsid w:val="2CEA62A5"/>
    <w:rsid w:val="2D0D674B"/>
    <w:rsid w:val="2D12095C"/>
    <w:rsid w:val="2D2050D1"/>
    <w:rsid w:val="2D3927A2"/>
    <w:rsid w:val="2D447298"/>
    <w:rsid w:val="2D6B058C"/>
    <w:rsid w:val="2DA3191F"/>
    <w:rsid w:val="2DBD5CBF"/>
    <w:rsid w:val="2DF4406E"/>
    <w:rsid w:val="2DF4552D"/>
    <w:rsid w:val="2E004C2A"/>
    <w:rsid w:val="2E053ABB"/>
    <w:rsid w:val="2E256CEF"/>
    <w:rsid w:val="2E450E46"/>
    <w:rsid w:val="2E4F3DD5"/>
    <w:rsid w:val="2E8E2E4C"/>
    <w:rsid w:val="2E914D2D"/>
    <w:rsid w:val="2E9419D6"/>
    <w:rsid w:val="2ECC267C"/>
    <w:rsid w:val="2EEC2563"/>
    <w:rsid w:val="2F092084"/>
    <w:rsid w:val="2F17188C"/>
    <w:rsid w:val="2F6302B6"/>
    <w:rsid w:val="2FA6228B"/>
    <w:rsid w:val="2FBF75DB"/>
    <w:rsid w:val="2FC113B0"/>
    <w:rsid w:val="2FF31ED1"/>
    <w:rsid w:val="2FF70BAF"/>
    <w:rsid w:val="300E2D30"/>
    <w:rsid w:val="30121FDB"/>
    <w:rsid w:val="302E7F19"/>
    <w:rsid w:val="3033375C"/>
    <w:rsid w:val="30486A69"/>
    <w:rsid w:val="3060742E"/>
    <w:rsid w:val="30AD77CE"/>
    <w:rsid w:val="30DB6DDD"/>
    <w:rsid w:val="30ED0D38"/>
    <w:rsid w:val="30F97154"/>
    <w:rsid w:val="310475A3"/>
    <w:rsid w:val="311A6605"/>
    <w:rsid w:val="311E1074"/>
    <w:rsid w:val="31311018"/>
    <w:rsid w:val="31377443"/>
    <w:rsid w:val="313D78C1"/>
    <w:rsid w:val="31551A80"/>
    <w:rsid w:val="31560EF1"/>
    <w:rsid w:val="31A676FF"/>
    <w:rsid w:val="31AA6961"/>
    <w:rsid w:val="31AB5D09"/>
    <w:rsid w:val="31F418E7"/>
    <w:rsid w:val="31FD7A73"/>
    <w:rsid w:val="32135959"/>
    <w:rsid w:val="32156C29"/>
    <w:rsid w:val="322D31E9"/>
    <w:rsid w:val="326C7146"/>
    <w:rsid w:val="329C32EB"/>
    <w:rsid w:val="32A608A4"/>
    <w:rsid w:val="32CC2331"/>
    <w:rsid w:val="332045F0"/>
    <w:rsid w:val="332C6ED1"/>
    <w:rsid w:val="33391FAE"/>
    <w:rsid w:val="333D4941"/>
    <w:rsid w:val="33753A6A"/>
    <w:rsid w:val="338C78D6"/>
    <w:rsid w:val="33BB70A9"/>
    <w:rsid w:val="33EA1C79"/>
    <w:rsid w:val="33F95E86"/>
    <w:rsid w:val="341306B4"/>
    <w:rsid w:val="342318D1"/>
    <w:rsid w:val="34354543"/>
    <w:rsid w:val="34705E4B"/>
    <w:rsid w:val="347512FB"/>
    <w:rsid w:val="34931929"/>
    <w:rsid w:val="34A34C59"/>
    <w:rsid w:val="34A52698"/>
    <w:rsid w:val="34B61BED"/>
    <w:rsid w:val="34B85582"/>
    <w:rsid w:val="35002F3A"/>
    <w:rsid w:val="35391483"/>
    <w:rsid w:val="358C1A0D"/>
    <w:rsid w:val="35950719"/>
    <w:rsid w:val="35A256DB"/>
    <w:rsid w:val="35A901AD"/>
    <w:rsid w:val="35EF5DD4"/>
    <w:rsid w:val="360A4309"/>
    <w:rsid w:val="361A08BD"/>
    <w:rsid w:val="361A1E8C"/>
    <w:rsid w:val="361D04BC"/>
    <w:rsid w:val="361D75B3"/>
    <w:rsid w:val="363F7D83"/>
    <w:rsid w:val="365E3669"/>
    <w:rsid w:val="36613A26"/>
    <w:rsid w:val="36810008"/>
    <w:rsid w:val="36841571"/>
    <w:rsid w:val="36846AE8"/>
    <w:rsid w:val="36A27D1E"/>
    <w:rsid w:val="36AB581D"/>
    <w:rsid w:val="36D4001E"/>
    <w:rsid w:val="370A712B"/>
    <w:rsid w:val="372D1F24"/>
    <w:rsid w:val="372F0589"/>
    <w:rsid w:val="37402EA9"/>
    <w:rsid w:val="37437599"/>
    <w:rsid w:val="375D490D"/>
    <w:rsid w:val="37A00417"/>
    <w:rsid w:val="37B10CEF"/>
    <w:rsid w:val="37B51FEB"/>
    <w:rsid w:val="37DA665F"/>
    <w:rsid w:val="37E14059"/>
    <w:rsid w:val="37EC2C33"/>
    <w:rsid w:val="37F30F9D"/>
    <w:rsid w:val="37FF2A6F"/>
    <w:rsid w:val="38184D3B"/>
    <w:rsid w:val="381C40BC"/>
    <w:rsid w:val="3827554B"/>
    <w:rsid w:val="38370662"/>
    <w:rsid w:val="38395AF1"/>
    <w:rsid w:val="38405E56"/>
    <w:rsid w:val="384F63D6"/>
    <w:rsid w:val="385923DA"/>
    <w:rsid w:val="38786398"/>
    <w:rsid w:val="38AF2F46"/>
    <w:rsid w:val="38D757E4"/>
    <w:rsid w:val="39035934"/>
    <w:rsid w:val="3938079D"/>
    <w:rsid w:val="39440C85"/>
    <w:rsid w:val="395C2D1D"/>
    <w:rsid w:val="397912C7"/>
    <w:rsid w:val="397F72AB"/>
    <w:rsid w:val="39BE01D1"/>
    <w:rsid w:val="39C25879"/>
    <w:rsid w:val="39DB1852"/>
    <w:rsid w:val="39F34636"/>
    <w:rsid w:val="39FC36F4"/>
    <w:rsid w:val="39FE35AA"/>
    <w:rsid w:val="39FF5F59"/>
    <w:rsid w:val="3A011F9C"/>
    <w:rsid w:val="3A0D1728"/>
    <w:rsid w:val="3A363EAC"/>
    <w:rsid w:val="3A3A2D4C"/>
    <w:rsid w:val="3A5E5357"/>
    <w:rsid w:val="3A7F092E"/>
    <w:rsid w:val="3A833365"/>
    <w:rsid w:val="3A8718D2"/>
    <w:rsid w:val="3A997B84"/>
    <w:rsid w:val="3AA1313C"/>
    <w:rsid w:val="3AB312C1"/>
    <w:rsid w:val="3AF32EED"/>
    <w:rsid w:val="3AF475E8"/>
    <w:rsid w:val="3B05303C"/>
    <w:rsid w:val="3B0F05B8"/>
    <w:rsid w:val="3B222A5D"/>
    <w:rsid w:val="3B262BEE"/>
    <w:rsid w:val="3B2B5788"/>
    <w:rsid w:val="3B3B786A"/>
    <w:rsid w:val="3B445891"/>
    <w:rsid w:val="3B584486"/>
    <w:rsid w:val="3B64169B"/>
    <w:rsid w:val="3B887D39"/>
    <w:rsid w:val="3B975012"/>
    <w:rsid w:val="3B992B72"/>
    <w:rsid w:val="3BD8458C"/>
    <w:rsid w:val="3BE5454C"/>
    <w:rsid w:val="3C07682A"/>
    <w:rsid w:val="3C1207C1"/>
    <w:rsid w:val="3C2110A0"/>
    <w:rsid w:val="3C212C8A"/>
    <w:rsid w:val="3C4A22C4"/>
    <w:rsid w:val="3C54646B"/>
    <w:rsid w:val="3C5C2F1C"/>
    <w:rsid w:val="3C890F0A"/>
    <w:rsid w:val="3C8C39D2"/>
    <w:rsid w:val="3C8E2740"/>
    <w:rsid w:val="3CB95DE3"/>
    <w:rsid w:val="3CFA450F"/>
    <w:rsid w:val="3CFB689B"/>
    <w:rsid w:val="3D1B504E"/>
    <w:rsid w:val="3D4344E8"/>
    <w:rsid w:val="3D4B5F06"/>
    <w:rsid w:val="3D540B55"/>
    <w:rsid w:val="3D7F21FD"/>
    <w:rsid w:val="3D8C1C89"/>
    <w:rsid w:val="3DA804E1"/>
    <w:rsid w:val="3DD65356"/>
    <w:rsid w:val="3DE675FE"/>
    <w:rsid w:val="3E6B667E"/>
    <w:rsid w:val="3EC70381"/>
    <w:rsid w:val="3EC76996"/>
    <w:rsid w:val="3EEA35DF"/>
    <w:rsid w:val="3F0B20D8"/>
    <w:rsid w:val="3F1A1BAF"/>
    <w:rsid w:val="3F573DC5"/>
    <w:rsid w:val="3F6134E7"/>
    <w:rsid w:val="3FA60B2A"/>
    <w:rsid w:val="3FAF5594"/>
    <w:rsid w:val="3FD15ACC"/>
    <w:rsid w:val="3FFE12F4"/>
    <w:rsid w:val="40647967"/>
    <w:rsid w:val="40774258"/>
    <w:rsid w:val="40A76182"/>
    <w:rsid w:val="40C60753"/>
    <w:rsid w:val="40D346FB"/>
    <w:rsid w:val="40D6698E"/>
    <w:rsid w:val="40DD242C"/>
    <w:rsid w:val="4113691F"/>
    <w:rsid w:val="41437670"/>
    <w:rsid w:val="414B18EB"/>
    <w:rsid w:val="417D6475"/>
    <w:rsid w:val="41806F81"/>
    <w:rsid w:val="41D529BB"/>
    <w:rsid w:val="41FE53D9"/>
    <w:rsid w:val="42160715"/>
    <w:rsid w:val="42240197"/>
    <w:rsid w:val="422507DB"/>
    <w:rsid w:val="422D1CA4"/>
    <w:rsid w:val="42636FA5"/>
    <w:rsid w:val="42817125"/>
    <w:rsid w:val="42857D58"/>
    <w:rsid w:val="42A8140B"/>
    <w:rsid w:val="42B851C3"/>
    <w:rsid w:val="430D6B32"/>
    <w:rsid w:val="43146206"/>
    <w:rsid w:val="433B01F8"/>
    <w:rsid w:val="433B4700"/>
    <w:rsid w:val="433C74B9"/>
    <w:rsid w:val="437654B2"/>
    <w:rsid w:val="437C611B"/>
    <w:rsid w:val="43A50036"/>
    <w:rsid w:val="43C37D6F"/>
    <w:rsid w:val="43F14AA1"/>
    <w:rsid w:val="441D5778"/>
    <w:rsid w:val="441F3638"/>
    <w:rsid w:val="4424470B"/>
    <w:rsid w:val="443E063C"/>
    <w:rsid w:val="445719D8"/>
    <w:rsid w:val="445F1A93"/>
    <w:rsid w:val="44A818A9"/>
    <w:rsid w:val="44B84FE9"/>
    <w:rsid w:val="44BA1959"/>
    <w:rsid w:val="44CC389D"/>
    <w:rsid w:val="44D81F6C"/>
    <w:rsid w:val="44E64935"/>
    <w:rsid w:val="44F6701E"/>
    <w:rsid w:val="454D7D6F"/>
    <w:rsid w:val="456D4FF5"/>
    <w:rsid w:val="45797212"/>
    <w:rsid w:val="458641AB"/>
    <w:rsid w:val="45A7464C"/>
    <w:rsid w:val="46136A24"/>
    <w:rsid w:val="46277F1D"/>
    <w:rsid w:val="46693A3B"/>
    <w:rsid w:val="467402AF"/>
    <w:rsid w:val="46745EC7"/>
    <w:rsid w:val="467747DA"/>
    <w:rsid w:val="469A0DC7"/>
    <w:rsid w:val="46A31404"/>
    <w:rsid w:val="46A44B68"/>
    <w:rsid w:val="46AB233C"/>
    <w:rsid w:val="46B85043"/>
    <w:rsid w:val="46D262FB"/>
    <w:rsid w:val="46D3109E"/>
    <w:rsid w:val="46F2523A"/>
    <w:rsid w:val="473A4323"/>
    <w:rsid w:val="47437CEB"/>
    <w:rsid w:val="477F40F8"/>
    <w:rsid w:val="478A614E"/>
    <w:rsid w:val="47A408C9"/>
    <w:rsid w:val="48215D23"/>
    <w:rsid w:val="48650791"/>
    <w:rsid w:val="486E5336"/>
    <w:rsid w:val="48B121DB"/>
    <w:rsid w:val="48C24422"/>
    <w:rsid w:val="48D354C7"/>
    <w:rsid w:val="48E75164"/>
    <w:rsid w:val="48FF4DBC"/>
    <w:rsid w:val="490E2F8D"/>
    <w:rsid w:val="493C398C"/>
    <w:rsid w:val="494C7E27"/>
    <w:rsid w:val="4994116F"/>
    <w:rsid w:val="49A040F4"/>
    <w:rsid w:val="49BC13F1"/>
    <w:rsid w:val="49D31D39"/>
    <w:rsid w:val="4A0C1F50"/>
    <w:rsid w:val="4A114105"/>
    <w:rsid w:val="4A1E741E"/>
    <w:rsid w:val="4A2132BC"/>
    <w:rsid w:val="4A610782"/>
    <w:rsid w:val="4A7B1582"/>
    <w:rsid w:val="4A7D4EAD"/>
    <w:rsid w:val="4A8A01C9"/>
    <w:rsid w:val="4AA05D82"/>
    <w:rsid w:val="4AA55B81"/>
    <w:rsid w:val="4AA91289"/>
    <w:rsid w:val="4B0D700F"/>
    <w:rsid w:val="4BB62888"/>
    <w:rsid w:val="4BCB1BBD"/>
    <w:rsid w:val="4BE374D2"/>
    <w:rsid w:val="4BF75265"/>
    <w:rsid w:val="4C025250"/>
    <w:rsid w:val="4C475BAC"/>
    <w:rsid w:val="4C612CF5"/>
    <w:rsid w:val="4C9177FF"/>
    <w:rsid w:val="4CA24C04"/>
    <w:rsid w:val="4CBD1A5E"/>
    <w:rsid w:val="4CC6349D"/>
    <w:rsid w:val="4CE87F70"/>
    <w:rsid w:val="4CEE6125"/>
    <w:rsid w:val="4D212074"/>
    <w:rsid w:val="4D4304CD"/>
    <w:rsid w:val="4D627564"/>
    <w:rsid w:val="4D6D2B42"/>
    <w:rsid w:val="4D92310A"/>
    <w:rsid w:val="4E056124"/>
    <w:rsid w:val="4E0D0916"/>
    <w:rsid w:val="4E340B4C"/>
    <w:rsid w:val="4E833701"/>
    <w:rsid w:val="4E83422A"/>
    <w:rsid w:val="4E87601F"/>
    <w:rsid w:val="4EE36503"/>
    <w:rsid w:val="4EE6541E"/>
    <w:rsid w:val="4EF25DC4"/>
    <w:rsid w:val="4EFC2C51"/>
    <w:rsid w:val="4F045691"/>
    <w:rsid w:val="4F353546"/>
    <w:rsid w:val="4F5B03C6"/>
    <w:rsid w:val="4F6273E9"/>
    <w:rsid w:val="4F815EA0"/>
    <w:rsid w:val="4F8206E1"/>
    <w:rsid w:val="4F8A3360"/>
    <w:rsid w:val="4FA01C0D"/>
    <w:rsid w:val="4FDB2457"/>
    <w:rsid w:val="4FE039CA"/>
    <w:rsid w:val="4FF30643"/>
    <w:rsid w:val="501354F5"/>
    <w:rsid w:val="502A2BA5"/>
    <w:rsid w:val="502B70F0"/>
    <w:rsid w:val="503835BA"/>
    <w:rsid w:val="50762357"/>
    <w:rsid w:val="50AE3319"/>
    <w:rsid w:val="50C33A64"/>
    <w:rsid w:val="50F11EF6"/>
    <w:rsid w:val="50F61EC2"/>
    <w:rsid w:val="510161F4"/>
    <w:rsid w:val="51165E00"/>
    <w:rsid w:val="51301745"/>
    <w:rsid w:val="513F633F"/>
    <w:rsid w:val="514F6194"/>
    <w:rsid w:val="51821AD3"/>
    <w:rsid w:val="518D144F"/>
    <w:rsid w:val="5193494B"/>
    <w:rsid w:val="51A71C2E"/>
    <w:rsid w:val="51BB21DB"/>
    <w:rsid w:val="51DD691E"/>
    <w:rsid w:val="51EA72D4"/>
    <w:rsid w:val="51ED64B1"/>
    <w:rsid w:val="521F5713"/>
    <w:rsid w:val="522E2FD5"/>
    <w:rsid w:val="525778C6"/>
    <w:rsid w:val="5268102F"/>
    <w:rsid w:val="528968B3"/>
    <w:rsid w:val="529849F0"/>
    <w:rsid w:val="52AA5879"/>
    <w:rsid w:val="53051328"/>
    <w:rsid w:val="532172A2"/>
    <w:rsid w:val="53263D9E"/>
    <w:rsid w:val="53337181"/>
    <w:rsid w:val="533453C1"/>
    <w:rsid w:val="535261BE"/>
    <w:rsid w:val="535F4E3D"/>
    <w:rsid w:val="53603F0E"/>
    <w:rsid w:val="53637156"/>
    <w:rsid w:val="538C63AD"/>
    <w:rsid w:val="53A1358E"/>
    <w:rsid w:val="53C47D21"/>
    <w:rsid w:val="54010F68"/>
    <w:rsid w:val="54282082"/>
    <w:rsid w:val="542831F7"/>
    <w:rsid w:val="543116B4"/>
    <w:rsid w:val="543D0C1D"/>
    <w:rsid w:val="54525142"/>
    <w:rsid w:val="5499263C"/>
    <w:rsid w:val="54A4226C"/>
    <w:rsid w:val="54A77B76"/>
    <w:rsid w:val="54B374E6"/>
    <w:rsid w:val="54B45FBD"/>
    <w:rsid w:val="54BC11EE"/>
    <w:rsid w:val="54CF2D75"/>
    <w:rsid w:val="54D30362"/>
    <w:rsid w:val="54DD3431"/>
    <w:rsid w:val="55031524"/>
    <w:rsid w:val="55145EDC"/>
    <w:rsid w:val="55160C5B"/>
    <w:rsid w:val="551A0AAB"/>
    <w:rsid w:val="55594284"/>
    <w:rsid w:val="556F2D08"/>
    <w:rsid w:val="556F3B05"/>
    <w:rsid w:val="55DD6912"/>
    <w:rsid w:val="55DF499F"/>
    <w:rsid w:val="55E134D0"/>
    <w:rsid w:val="55EF39C1"/>
    <w:rsid w:val="55FF6772"/>
    <w:rsid w:val="56256A82"/>
    <w:rsid w:val="567828FE"/>
    <w:rsid w:val="5699165D"/>
    <w:rsid w:val="56AB7F93"/>
    <w:rsid w:val="56AC185A"/>
    <w:rsid w:val="56EC6890"/>
    <w:rsid w:val="573E5FAE"/>
    <w:rsid w:val="57462AB0"/>
    <w:rsid w:val="57537FD5"/>
    <w:rsid w:val="575A39C3"/>
    <w:rsid w:val="575C2E57"/>
    <w:rsid w:val="576F6E7E"/>
    <w:rsid w:val="57725FB8"/>
    <w:rsid w:val="57874CE7"/>
    <w:rsid w:val="57A843B1"/>
    <w:rsid w:val="57D24CD2"/>
    <w:rsid w:val="57D97DDA"/>
    <w:rsid w:val="58007D30"/>
    <w:rsid w:val="580F599E"/>
    <w:rsid w:val="583A085D"/>
    <w:rsid w:val="58655A5C"/>
    <w:rsid w:val="586A417F"/>
    <w:rsid w:val="58770672"/>
    <w:rsid w:val="5899727D"/>
    <w:rsid w:val="58B17DD7"/>
    <w:rsid w:val="58D26463"/>
    <w:rsid w:val="58D63971"/>
    <w:rsid w:val="58E5421A"/>
    <w:rsid w:val="58EF5CD1"/>
    <w:rsid w:val="59134968"/>
    <w:rsid w:val="59406241"/>
    <w:rsid w:val="595079D6"/>
    <w:rsid w:val="59683F80"/>
    <w:rsid w:val="596A23AE"/>
    <w:rsid w:val="59D21B60"/>
    <w:rsid w:val="59FB3D19"/>
    <w:rsid w:val="5A152193"/>
    <w:rsid w:val="5A181089"/>
    <w:rsid w:val="5A1F4032"/>
    <w:rsid w:val="5A943552"/>
    <w:rsid w:val="5A9437E3"/>
    <w:rsid w:val="5AAE29DA"/>
    <w:rsid w:val="5AB82AC8"/>
    <w:rsid w:val="5ABB6D4B"/>
    <w:rsid w:val="5ACB4CDC"/>
    <w:rsid w:val="5AE930D8"/>
    <w:rsid w:val="5AEB0300"/>
    <w:rsid w:val="5AFA0D87"/>
    <w:rsid w:val="5B0623D0"/>
    <w:rsid w:val="5B1920BE"/>
    <w:rsid w:val="5B474CFE"/>
    <w:rsid w:val="5B4A6B6D"/>
    <w:rsid w:val="5B592F4F"/>
    <w:rsid w:val="5B5B3DEF"/>
    <w:rsid w:val="5B630169"/>
    <w:rsid w:val="5B742B60"/>
    <w:rsid w:val="5B8438EE"/>
    <w:rsid w:val="5B8E044D"/>
    <w:rsid w:val="5B9E5345"/>
    <w:rsid w:val="5BA16380"/>
    <w:rsid w:val="5BAB34EB"/>
    <w:rsid w:val="5BCF39B8"/>
    <w:rsid w:val="5BE206ED"/>
    <w:rsid w:val="5BEA3BE4"/>
    <w:rsid w:val="5BF632D7"/>
    <w:rsid w:val="5BFF01A7"/>
    <w:rsid w:val="5C016E9B"/>
    <w:rsid w:val="5C1C2AEB"/>
    <w:rsid w:val="5C25501F"/>
    <w:rsid w:val="5C555045"/>
    <w:rsid w:val="5C6914DA"/>
    <w:rsid w:val="5C747BBF"/>
    <w:rsid w:val="5C973A2A"/>
    <w:rsid w:val="5CA258B7"/>
    <w:rsid w:val="5CAA2ED0"/>
    <w:rsid w:val="5CC577DA"/>
    <w:rsid w:val="5CDF316D"/>
    <w:rsid w:val="5D331CA7"/>
    <w:rsid w:val="5D743171"/>
    <w:rsid w:val="5D763A0A"/>
    <w:rsid w:val="5D8D7CB2"/>
    <w:rsid w:val="5DAB1F45"/>
    <w:rsid w:val="5DC2521C"/>
    <w:rsid w:val="5DD4397B"/>
    <w:rsid w:val="5DDB1F00"/>
    <w:rsid w:val="5E784225"/>
    <w:rsid w:val="5E916AC6"/>
    <w:rsid w:val="5ED724E0"/>
    <w:rsid w:val="5EED2578"/>
    <w:rsid w:val="5EF04BD7"/>
    <w:rsid w:val="5F0E3C2A"/>
    <w:rsid w:val="5F122700"/>
    <w:rsid w:val="5F1B3E95"/>
    <w:rsid w:val="5F2D2F8F"/>
    <w:rsid w:val="5F3E0413"/>
    <w:rsid w:val="5F4F362D"/>
    <w:rsid w:val="5F551E92"/>
    <w:rsid w:val="5F5C0D63"/>
    <w:rsid w:val="5F6E484C"/>
    <w:rsid w:val="5F821D0D"/>
    <w:rsid w:val="5F90301A"/>
    <w:rsid w:val="5F97014C"/>
    <w:rsid w:val="5FC2455C"/>
    <w:rsid w:val="5FC55639"/>
    <w:rsid w:val="5FCC37BF"/>
    <w:rsid w:val="5FE00465"/>
    <w:rsid w:val="600436C3"/>
    <w:rsid w:val="60291666"/>
    <w:rsid w:val="602B579A"/>
    <w:rsid w:val="605551D5"/>
    <w:rsid w:val="605A0478"/>
    <w:rsid w:val="60955BAD"/>
    <w:rsid w:val="609A130D"/>
    <w:rsid w:val="60AD1169"/>
    <w:rsid w:val="60B561D6"/>
    <w:rsid w:val="60BE34BE"/>
    <w:rsid w:val="60BF39C5"/>
    <w:rsid w:val="60CE44B5"/>
    <w:rsid w:val="60D364C1"/>
    <w:rsid w:val="60FC7505"/>
    <w:rsid w:val="61151843"/>
    <w:rsid w:val="6144598E"/>
    <w:rsid w:val="616C75E2"/>
    <w:rsid w:val="617C5379"/>
    <w:rsid w:val="61A6014B"/>
    <w:rsid w:val="61B509B1"/>
    <w:rsid w:val="61BD637A"/>
    <w:rsid w:val="61C21C64"/>
    <w:rsid w:val="61C25371"/>
    <w:rsid w:val="61F0501E"/>
    <w:rsid w:val="620F1BA2"/>
    <w:rsid w:val="624F179A"/>
    <w:rsid w:val="625B50E5"/>
    <w:rsid w:val="62650A3A"/>
    <w:rsid w:val="626C24E3"/>
    <w:rsid w:val="627C1BF3"/>
    <w:rsid w:val="627F2A5D"/>
    <w:rsid w:val="6288442F"/>
    <w:rsid w:val="63114FEF"/>
    <w:rsid w:val="6327142A"/>
    <w:rsid w:val="633154A5"/>
    <w:rsid w:val="633B7DFE"/>
    <w:rsid w:val="633C5D2B"/>
    <w:rsid w:val="63816556"/>
    <w:rsid w:val="63917942"/>
    <w:rsid w:val="63A2632D"/>
    <w:rsid w:val="63AC688B"/>
    <w:rsid w:val="63E02459"/>
    <w:rsid w:val="63F011B5"/>
    <w:rsid w:val="63FA6B32"/>
    <w:rsid w:val="63FB5852"/>
    <w:rsid w:val="6426117D"/>
    <w:rsid w:val="64291398"/>
    <w:rsid w:val="643B3D0C"/>
    <w:rsid w:val="644F3621"/>
    <w:rsid w:val="647B68E6"/>
    <w:rsid w:val="64894114"/>
    <w:rsid w:val="649306EC"/>
    <w:rsid w:val="64D02611"/>
    <w:rsid w:val="64D9335A"/>
    <w:rsid w:val="64DC2070"/>
    <w:rsid w:val="64FB6E9C"/>
    <w:rsid w:val="650402AD"/>
    <w:rsid w:val="650705B7"/>
    <w:rsid w:val="651A2D11"/>
    <w:rsid w:val="655B350A"/>
    <w:rsid w:val="65844031"/>
    <w:rsid w:val="65915CCD"/>
    <w:rsid w:val="65C8189C"/>
    <w:rsid w:val="65E40480"/>
    <w:rsid w:val="66003776"/>
    <w:rsid w:val="66073A9D"/>
    <w:rsid w:val="6611528F"/>
    <w:rsid w:val="664B4DA0"/>
    <w:rsid w:val="667A761B"/>
    <w:rsid w:val="66853F3B"/>
    <w:rsid w:val="66C40CE7"/>
    <w:rsid w:val="672C1A82"/>
    <w:rsid w:val="67412477"/>
    <w:rsid w:val="67466BA6"/>
    <w:rsid w:val="67573E7B"/>
    <w:rsid w:val="67BB0664"/>
    <w:rsid w:val="67DF6E17"/>
    <w:rsid w:val="67ED5439"/>
    <w:rsid w:val="6805070F"/>
    <w:rsid w:val="688D6CA2"/>
    <w:rsid w:val="68A42947"/>
    <w:rsid w:val="68AB30C6"/>
    <w:rsid w:val="690E585F"/>
    <w:rsid w:val="69121E52"/>
    <w:rsid w:val="69584DB0"/>
    <w:rsid w:val="69720BDE"/>
    <w:rsid w:val="698379E2"/>
    <w:rsid w:val="699F28D9"/>
    <w:rsid w:val="69AC0CBE"/>
    <w:rsid w:val="69C04631"/>
    <w:rsid w:val="69D91BA3"/>
    <w:rsid w:val="6A115241"/>
    <w:rsid w:val="6A2567E4"/>
    <w:rsid w:val="6A4D50E5"/>
    <w:rsid w:val="6A624855"/>
    <w:rsid w:val="6A737A8A"/>
    <w:rsid w:val="6A765D8E"/>
    <w:rsid w:val="6AE47890"/>
    <w:rsid w:val="6B27365D"/>
    <w:rsid w:val="6B393A55"/>
    <w:rsid w:val="6B433EF4"/>
    <w:rsid w:val="6B440E48"/>
    <w:rsid w:val="6B4B498D"/>
    <w:rsid w:val="6BC26AD6"/>
    <w:rsid w:val="6BFF3B80"/>
    <w:rsid w:val="6C0656D0"/>
    <w:rsid w:val="6C4B0D0B"/>
    <w:rsid w:val="6C583A46"/>
    <w:rsid w:val="6C791C04"/>
    <w:rsid w:val="6C8654AB"/>
    <w:rsid w:val="6CF46B9E"/>
    <w:rsid w:val="6D017C61"/>
    <w:rsid w:val="6D08252A"/>
    <w:rsid w:val="6D1C1A55"/>
    <w:rsid w:val="6D274B1C"/>
    <w:rsid w:val="6D2A4E4B"/>
    <w:rsid w:val="6D360E1C"/>
    <w:rsid w:val="6D3A09A3"/>
    <w:rsid w:val="6D3E389D"/>
    <w:rsid w:val="6D535020"/>
    <w:rsid w:val="6D692256"/>
    <w:rsid w:val="6DA65D61"/>
    <w:rsid w:val="6DED7C4E"/>
    <w:rsid w:val="6DEE3D97"/>
    <w:rsid w:val="6E1647A2"/>
    <w:rsid w:val="6E185A16"/>
    <w:rsid w:val="6E206AE5"/>
    <w:rsid w:val="6E451979"/>
    <w:rsid w:val="6E8D42D4"/>
    <w:rsid w:val="6E95608B"/>
    <w:rsid w:val="6EA3437D"/>
    <w:rsid w:val="6EE84366"/>
    <w:rsid w:val="6F0E644E"/>
    <w:rsid w:val="6F12127A"/>
    <w:rsid w:val="6F125A01"/>
    <w:rsid w:val="6F18512C"/>
    <w:rsid w:val="6F803208"/>
    <w:rsid w:val="6F886652"/>
    <w:rsid w:val="6F910240"/>
    <w:rsid w:val="6FCA7423"/>
    <w:rsid w:val="6FD978ED"/>
    <w:rsid w:val="6FDA4915"/>
    <w:rsid w:val="6FDB78F3"/>
    <w:rsid w:val="6FE573AB"/>
    <w:rsid w:val="70305B55"/>
    <w:rsid w:val="703D684B"/>
    <w:rsid w:val="705C7F88"/>
    <w:rsid w:val="70975E6D"/>
    <w:rsid w:val="70A54EFD"/>
    <w:rsid w:val="70A711B4"/>
    <w:rsid w:val="70CD0BDB"/>
    <w:rsid w:val="710D761D"/>
    <w:rsid w:val="712F60F0"/>
    <w:rsid w:val="714D4CA2"/>
    <w:rsid w:val="714F605F"/>
    <w:rsid w:val="715F7534"/>
    <w:rsid w:val="716A6F3B"/>
    <w:rsid w:val="71786D46"/>
    <w:rsid w:val="71AB2F4D"/>
    <w:rsid w:val="71B35F1C"/>
    <w:rsid w:val="71B60040"/>
    <w:rsid w:val="71DB4170"/>
    <w:rsid w:val="723A3147"/>
    <w:rsid w:val="723B7CA6"/>
    <w:rsid w:val="7243429F"/>
    <w:rsid w:val="725A061B"/>
    <w:rsid w:val="72A033F8"/>
    <w:rsid w:val="72C51C87"/>
    <w:rsid w:val="72D06CB3"/>
    <w:rsid w:val="72D2776F"/>
    <w:rsid w:val="7309711B"/>
    <w:rsid w:val="73721348"/>
    <w:rsid w:val="738A0156"/>
    <w:rsid w:val="73922526"/>
    <w:rsid w:val="739C3596"/>
    <w:rsid w:val="73C5281C"/>
    <w:rsid w:val="73C565F7"/>
    <w:rsid w:val="73C64FBA"/>
    <w:rsid w:val="73D4242B"/>
    <w:rsid w:val="73DC494C"/>
    <w:rsid w:val="741327E6"/>
    <w:rsid w:val="742F6E16"/>
    <w:rsid w:val="7453116A"/>
    <w:rsid w:val="746403E4"/>
    <w:rsid w:val="74A75DEF"/>
    <w:rsid w:val="74E23BEE"/>
    <w:rsid w:val="75121B9E"/>
    <w:rsid w:val="75215FDF"/>
    <w:rsid w:val="753E3332"/>
    <w:rsid w:val="754C5E23"/>
    <w:rsid w:val="75514484"/>
    <w:rsid w:val="758B1BB4"/>
    <w:rsid w:val="759309B2"/>
    <w:rsid w:val="759C3A97"/>
    <w:rsid w:val="75A36F94"/>
    <w:rsid w:val="75BC6E96"/>
    <w:rsid w:val="761F60D6"/>
    <w:rsid w:val="764A2F0B"/>
    <w:rsid w:val="764F667A"/>
    <w:rsid w:val="76767846"/>
    <w:rsid w:val="768755EA"/>
    <w:rsid w:val="76901CCA"/>
    <w:rsid w:val="76E23231"/>
    <w:rsid w:val="77086EF2"/>
    <w:rsid w:val="770C4006"/>
    <w:rsid w:val="77172CDC"/>
    <w:rsid w:val="771A3EEC"/>
    <w:rsid w:val="774346C3"/>
    <w:rsid w:val="7753756C"/>
    <w:rsid w:val="77667B7A"/>
    <w:rsid w:val="77675CCA"/>
    <w:rsid w:val="77690FB8"/>
    <w:rsid w:val="77823DFE"/>
    <w:rsid w:val="77971810"/>
    <w:rsid w:val="779742E4"/>
    <w:rsid w:val="77A13FE8"/>
    <w:rsid w:val="77A54555"/>
    <w:rsid w:val="77B16D30"/>
    <w:rsid w:val="77C748C2"/>
    <w:rsid w:val="77C761DD"/>
    <w:rsid w:val="77EF36A1"/>
    <w:rsid w:val="77FF36C5"/>
    <w:rsid w:val="78384F28"/>
    <w:rsid w:val="78793083"/>
    <w:rsid w:val="78802C29"/>
    <w:rsid w:val="788E2390"/>
    <w:rsid w:val="78AF019F"/>
    <w:rsid w:val="78B173B1"/>
    <w:rsid w:val="78B33F2D"/>
    <w:rsid w:val="78B45627"/>
    <w:rsid w:val="78BA55AC"/>
    <w:rsid w:val="78E212BD"/>
    <w:rsid w:val="78E3242E"/>
    <w:rsid w:val="792A2958"/>
    <w:rsid w:val="794A32B4"/>
    <w:rsid w:val="79A37F38"/>
    <w:rsid w:val="79C7121A"/>
    <w:rsid w:val="7A1D776F"/>
    <w:rsid w:val="7A210858"/>
    <w:rsid w:val="7A23062B"/>
    <w:rsid w:val="7A3837AF"/>
    <w:rsid w:val="7A4A5D59"/>
    <w:rsid w:val="7A55485D"/>
    <w:rsid w:val="7A64501B"/>
    <w:rsid w:val="7AAE3606"/>
    <w:rsid w:val="7AFA27C9"/>
    <w:rsid w:val="7AFC59F7"/>
    <w:rsid w:val="7B03623F"/>
    <w:rsid w:val="7B8A1086"/>
    <w:rsid w:val="7BC2380F"/>
    <w:rsid w:val="7BE001D1"/>
    <w:rsid w:val="7C1409E0"/>
    <w:rsid w:val="7C3A6D01"/>
    <w:rsid w:val="7C614579"/>
    <w:rsid w:val="7CAA4D58"/>
    <w:rsid w:val="7CDD6A47"/>
    <w:rsid w:val="7D044688"/>
    <w:rsid w:val="7D0A2815"/>
    <w:rsid w:val="7D2E77C6"/>
    <w:rsid w:val="7D575E17"/>
    <w:rsid w:val="7D72502D"/>
    <w:rsid w:val="7D77380E"/>
    <w:rsid w:val="7D8048A0"/>
    <w:rsid w:val="7D9C3780"/>
    <w:rsid w:val="7DAD41F5"/>
    <w:rsid w:val="7DB42C91"/>
    <w:rsid w:val="7DC422A9"/>
    <w:rsid w:val="7E031C4A"/>
    <w:rsid w:val="7E1808C6"/>
    <w:rsid w:val="7E452524"/>
    <w:rsid w:val="7E6648B9"/>
    <w:rsid w:val="7E6C2CC6"/>
    <w:rsid w:val="7E704F7A"/>
    <w:rsid w:val="7E863B31"/>
    <w:rsid w:val="7EA86C21"/>
    <w:rsid w:val="7EB55410"/>
    <w:rsid w:val="7EDC7FBB"/>
    <w:rsid w:val="7F4A0D35"/>
    <w:rsid w:val="7F7A5830"/>
    <w:rsid w:val="7F876BA6"/>
    <w:rsid w:val="7F935C4A"/>
    <w:rsid w:val="7FA71BFC"/>
    <w:rsid w:val="7FD318E4"/>
    <w:rsid w:val="7FD61C75"/>
    <w:rsid w:val="7FE95627"/>
    <w:rsid w:val="7FF617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qFormat="1" w:uiPriority="99"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
    <w:pPr>
      <w:keepNext/>
      <w:keepLines/>
      <w:adjustRightInd w:val="0"/>
      <w:snapToGrid w:val="0"/>
      <w:spacing w:beforeLines="0" w:beforeAutospacing="0" w:afterLines="0" w:afterAutospacing="0" w:line="240" w:lineRule="auto"/>
      <w:outlineLvl w:val="0"/>
    </w:pPr>
    <w:rPr>
      <w:b/>
      <w:kern w:val="44"/>
      <w:sz w:val="32"/>
    </w:rPr>
  </w:style>
  <w:style w:type="paragraph" w:styleId="3">
    <w:name w:val="heading 2"/>
    <w:basedOn w:val="1"/>
    <w:next w:val="1"/>
    <w:autoRedefine/>
    <w:qFormat/>
    <w:uiPriority w:val="0"/>
    <w:pPr>
      <w:keepNext/>
      <w:keepLines/>
      <w:snapToGrid w:val="0"/>
      <w:spacing w:before="156" w:beforeLines="50" w:after="156" w:afterLines="50"/>
      <w:outlineLvl w:val="1"/>
    </w:pPr>
    <w:rPr>
      <w:rFonts w:ascii="楷体_GB2312" w:hAnsi="Arial" w:eastAsia="楷体_GB2312"/>
      <w:b/>
      <w:sz w:val="30"/>
      <w:szCs w:val="20"/>
    </w:rPr>
  </w:style>
  <w:style w:type="paragraph" w:styleId="4">
    <w:name w:val="heading 4"/>
    <w:basedOn w:val="1"/>
    <w:next w:val="1"/>
    <w:autoRedefine/>
    <w:qFormat/>
    <w:uiPriority w:val="0"/>
    <w:pPr>
      <w:keepNext/>
      <w:keepLines/>
      <w:adjustRightInd w:val="0"/>
      <w:snapToGrid w:val="0"/>
      <w:spacing w:beforeLines="0" w:afterLines="0" w:line="312" w:lineRule="auto"/>
      <w:ind w:firstLine="200" w:firstLineChars="200"/>
      <w:jc w:val="center"/>
      <w:outlineLvl w:val="3"/>
    </w:pPr>
    <w:rPr>
      <w:rFonts w:ascii="Times New Roman" w:hAnsi="宋体" w:eastAsia="宋体" w:cs="Times New Roman"/>
      <w:b/>
      <w:bCs/>
      <w:color w:val="auto"/>
      <w:kern w:val="2"/>
      <w:sz w:val="21"/>
      <w:szCs w:val="28"/>
      <w:lang w:val="en-US" w:eastAsia="zh-CN" w:bidi="ar-SA"/>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5">
    <w:name w:val="table of authorities"/>
    <w:basedOn w:val="1"/>
    <w:next w:val="1"/>
    <w:qFormat/>
    <w:uiPriority w:val="0"/>
    <w:pPr>
      <w:spacing w:line="360" w:lineRule="auto"/>
      <w:ind w:left="0" w:leftChars="0" w:firstLine="720" w:firstLineChars="200"/>
      <w:jc w:val="both"/>
    </w:pPr>
    <w:rPr>
      <w:rFonts w:ascii="Times New Roman" w:hAnsi="Times New Roman" w:eastAsia="宋体"/>
      <w:sz w:val="24"/>
    </w:rPr>
  </w:style>
  <w:style w:type="paragraph" w:styleId="6">
    <w:name w:val="Normal Indent"/>
    <w:basedOn w:val="1"/>
    <w:next w:val="1"/>
    <w:autoRedefine/>
    <w:qFormat/>
    <w:uiPriority w:val="0"/>
    <w:pPr>
      <w:ind w:firstLine="420" w:firstLineChars="200"/>
    </w:pPr>
    <w:rPr>
      <w:rFonts w:ascii="Times New Roman" w:hAnsi="Times New Roman" w:cs="Times New Roman"/>
      <w:sz w:val="21"/>
    </w:rPr>
  </w:style>
  <w:style w:type="paragraph" w:styleId="7">
    <w:name w:val="caption"/>
    <w:basedOn w:val="1"/>
    <w:next w:val="1"/>
    <w:autoRedefine/>
    <w:qFormat/>
    <w:uiPriority w:val="0"/>
    <w:rPr>
      <w:rFonts w:ascii="Arial" w:hAnsi="Arial" w:eastAsia="黑体" w:cs="Arial"/>
      <w:sz w:val="20"/>
      <w:szCs w:val="20"/>
    </w:rPr>
  </w:style>
  <w:style w:type="paragraph" w:styleId="8">
    <w:name w:val="Salutation"/>
    <w:basedOn w:val="1"/>
    <w:next w:val="1"/>
    <w:autoRedefine/>
    <w:unhideWhenUsed/>
    <w:qFormat/>
    <w:uiPriority w:val="99"/>
  </w:style>
  <w:style w:type="paragraph" w:styleId="9">
    <w:name w:val="Body Text"/>
    <w:basedOn w:val="1"/>
    <w:next w:val="10"/>
    <w:autoRedefine/>
    <w:unhideWhenUsed/>
    <w:qFormat/>
    <w:uiPriority w:val="99"/>
    <w:pPr>
      <w:spacing w:line="600" w:lineRule="exact"/>
    </w:pPr>
    <w:rPr>
      <w:sz w:val="28"/>
    </w:rPr>
  </w:style>
  <w:style w:type="paragraph" w:customStyle="1" w:styleId="10">
    <w:name w:val="xl27"/>
    <w:basedOn w:val="5"/>
    <w:autoRedefine/>
    <w:qFormat/>
    <w:uiPriority w:val="0"/>
    <w:pPr>
      <w:widowControl/>
      <w:pBdr>
        <w:bottom w:val="single" w:color="auto" w:sz="4" w:space="0"/>
        <w:right w:val="single" w:color="auto" w:sz="4" w:space="0"/>
      </w:pBdr>
      <w:spacing w:beforeAutospacing="1" w:afterAutospacing="1"/>
      <w:jc w:val="center"/>
    </w:pPr>
    <w:rPr>
      <w:kern w:val="0"/>
      <w:szCs w:val="21"/>
    </w:rPr>
  </w:style>
  <w:style w:type="paragraph" w:styleId="11">
    <w:name w:val="Body Text Indent"/>
    <w:basedOn w:val="1"/>
    <w:next w:val="1"/>
    <w:autoRedefine/>
    <w:unhideWhenUsed/>
    <w:qFormat/>
    <w:uiPriority w:val="99"/>
    <w:pPr>
      <w:spacing w:line="360" w:lineRule="auto"/>
      <w:ind w:firstLine="480"/>
    </w:pPr>
    <w:rPr>
      <w:szCs w:val="20"/>
    </w:rPr>
  </w:style>
  <w:style w:type="paragraph" w:styleId="12">
    <w:name w:val="toc 3"/>
    <w:basedOn w:val="1"/>
    <w:next w:val="1"/>
    <w:autoRedefine/>
    <w:qFormat/>
    <w:uiPriority w:val="0"/>
    <w:pPr>
      <w:ind w:left="840" w:leftChars="400"/>
    </w:pPr>
  </w:style>
  <w:style w:type="paragraph" w:styleId="13">
    <w:name w:val="Plain Text"/>
    <w:basedOn w:val="1"/>
    <w:next w:val="6"/>
    <w:autoRedefine/>
    <w:unhideWhenUsed/>
    <w:qFormat/>
    <w:uiPriority w:val="0"/>
    <w:pPr>
      <w:adjustRightInd w:val="0"/>
      <w:spacing w:before="120" w:line="400" w:lineRule="exact"/>
      <w:textAlignment w:val="baseline"/>
    </w:pPr>
    <w:rPr>
      <w:rFonts w:hint="eastAsia" w:ascii="宋体" w:hAnsi="Courier New" w:cs="Times New Roman"/>
      <w:kern w:val="0"/>
      <w:sz w:val="20"/>
      <w:szCs w:val="20"/>
    </w:rPr>
  </w:style>
  <w:style w:type="paragraph" w:styleId="14">
    <w:name w:val="Date"/>
    <w:basedOn w:val="1"/>
    <w:next w:val="1"/>
    <w:autoRedefine/>
    <w:qFormat/>
    <w:uiPriority w:val="0"/>
    <w:pPr>
      <w:ind w:firstLine="0"/>
    </w:pPr>
    <w:rPr>
      <w:sz w:val="28"/>
    </w:rPr>
  </w:style>
  <w:style w:type="paragraph" w:styleId="15">
    <w:name w:val="Body Text Indent 2"/>
    <w:basedOn w:val="1"/>
    <w:next w:val="16"/>
    <w:autoRedefine/>
    <w:unhideWhenUsed/>
    <w:qFormat/>
    <w:uiPriority w:val="99"/>
    <w:pPr>
      <w:widowControl w:val="0"/>
      <w:spacing w:line="254" w:lineRule="auto"/>
      <w:ind w:firstLine="500" w:firstLineChars="200"/>
      <w:jc w:val="both"/>
    </w:pPr>
    <w:rPr>
      <w:rFonts w:ascii="Times New Roman" w:hAnsi="Times New Roman" w:eastAsia="宋体" w:cs="Times New Roman"/>
      <w:kern w:val="2"/>
      <w:sz w:val="25"/>
      <w:szCs w:val="24"/>
      <w:lang w:val="en-US" w:eastAsia="zh-CN" w:bidi="ar-SA"/>
    </w:rPr>
  </w:style>
  <w:style w:type="paragraph" w:styleId="16">
    <w:name w:val="Body Text First Indent 2"/>
    <w:basedOn w:val="11"/>
    <w:next w:val="17"/>
    <w:autoRedefine/>
    <w:qFormat/>
    <w:uiPriority w:val="0"/>
    <w:pPr>
      <w:widowControl w:val="0"/>
      <w:spacing w:after="120" w:line="240" w:lineRule="auto"/>
      <w:ind w:left="420" w:leftChars="200" w:firstLine="420" w:firstLineChars="200"/>
      <w:jc w:val="both"/>
    </w:pPr>
    <w:rPr>
      <w:rFonts w:ascii="Times New Roman" w:hAnsi="Times New Roman" w:eastAsia="宋体" w:cs="Times New Roman"/>
      <w:kern w:val="2"/>
      <w:sz w:val="21"/>
      <w:szCs w:val="21"/>
      <w:lang w:val="en-US" w:eastAsia="zh-CN" w:bidi="ar-SA"/>
    </w:rPr>
  </w:style>
  <w:style w:type="paragraph" w:styleId="17">
    <w:name w:val="Body Text First Indent"/>
    <w:basedOn w:val="9"/>
    <w:autoRedefine/>
    <w:qFormat/>
    <w:uiPriority w:val="0"/>
    <w:pPr>
      <w:overflowPunct w:val="0"/>
      <w:autoSpaceDE w:val="0"/>
      <w:autoSpaceDN w:val="0"/>
      <w:spacing w:line="0" w:lineRule="atLeast"/>
      <w:ind w:firstLine="578"/>
    </w:pPr>
    <w:rPr>
      <w:sz w:val="28"/>
    </w:rPr>
  </w:style>
  <w:style w:type="paragraph" w:styleId="18">
    <w:name w:val="footer"/>
    <w:basedOn w:val="1"/>
    <w:autoRedefine/>
    <w:qFormat/>
    <w:uiPriority w:val="0"/>
    <w:pPr>
      <w:tabs>
        <w:tab w:val="center" w:pos="4153"/>
        <w:tab w:val="right" w:pos="8306"/>
      </w:tabs>
    </w:pPr>
    <w:rPr>
      <w:rFonts w:ascii="Tahoma" w:hAnsi="Tahoma"/>
      <w:sz w:val="18"/>
      <w:szCs w:val="18"/>
    </w:rPr>
  </w:style>
  <w:style w:type="paragraph" w:styleId="19">
    <w:name w:val="envelope return"/>
    <w:basedOn w:val="1"/>
    <w:autoRedefine/>
    <w:semiHidden/>
    <w:qFormat/>
    <w:uiPriority w:val="0"/>
    <w:pPr>
      <w:widowControl w:val="0"/>
      <w:snapToGrid w:val="0"/>
      <w:jc w:val="both"/>
    </w:pPr>
    <w:rPr>
      <w:rFonts w:ascii="Arial" w:hAnsi="Arial" w:eastAsia="宋体" w:cs="Arial"/>
      <w:kern w:val="2"/>
      <w:sz w:val="21"/>
      <w:szCs w:val="22"/>
      <w:lang w:val="en-US" w:eastAsia="zh-CN" w:bidi="ar-SA"/>
    </w:rPr>
  </w:style>
  <w:style w:type="paragraph" w:styleId="2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toc 1"/>
    <w:basedOn w:val="1"/>
    <w:next w:val="1"/>
    <w:autoRedefine/>
    <w:qFormat/>
    <w:uiPriority w:val="0"/>
  </w:style>
  <w:style w:type="paragraph" w:styleId="22">
    <w:name w:val="Body Text Indent 3"/>
    <w:basedOn w:val="1"/>
    <w:autoRedefine/>
    <w:unhideWhenUsed/>
    <w:qFormat/>
    <w:uiPriority w:val="99"/>
    <w:pPr>
      <w:spacing w:after="120"/>
      <w:ind w:left="420" w:leftChars="200"/>
    </w:pPr>
    <w:rPr>
      <w:sz w:val="16"/>
      <w:szCs w:val="16"/>
    </w:rPr>
  </w:style>
  <w:style w:type="paragraph" w:styleId="23">
    <w:name w:val="toc 2"/>
    <w:basedOn w:val="1"/>
    <w:next w:val="1"/>
    <w:autoRedefine/>
    <w:qFormat/>
    <w:uiPriority w:val="0"/>
    <w:pPr>
      <w:ind w:left="420" w:leftChars="200"/>
    </w:p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page number"/>
    <w:basedOn w:val="26"/>
    <w:autoRedefine/>
    <w:qFormat/>
    <w:uiPriority w:val="0"/>
  </w:style>
  <w:style w:type="character" w:styleId="28">
    <w:name w:val="Hyperlink"/>
    <w:basedOn w:val="26"/>
    <w:autoRedefine/>
    <w:qFormat/>
    <w:uiPriority w:val="0"/>
    <w:rPr>
      <w:color w:val="0000FF"/>
      <w:u w:val="single"/>
    </w:rPr>
  </w:style>
  <w:style w:type="character" w:styleId="29">
    <w:name w:val="annotation reference"/>
    <w:semiHidden/>
    <w:qFormat/>
    <w:uiPriority w:val="0"/>
    <w:rPr>
      <w:sz w:val="21"/>
    </w:rPr>
  </w:style>
  <w:style w:type="paragraph" w:customStyle="1" w:styleId="30">
    <w:name w:val="样式 小四 行距: 1.5 倍行距"/>
    <w:basedOn w:val="1"/>
    <w:autoRedefine/>
    <w:qFormat/>
    <w:uiPriority w:val="0"/>
    <w:pPr>
      <w:ind w:firstLine="480" w:firstLineChars="200"/>
    </w:pPr>
    <w:rPr>
      <w:rFonts w:hint="default" w:cs="宋体"/>
    </w:rPr>
  </w:style>
  <w:style w:type="paragraph" w:customStyle="1" w:styleId="31">
    <w:name w:val="样式 标题 1一级标题 + 段前: 0.5 行 段后: 0.5 行"/>
    <w:basedOn w:val="2"/>
    <w:autoRedefine/>
    <w:qFormat/>
    <w:uiPriority w:val="99"/>
    <w:pPr>
      <w:tabs>
        <w:tab w:val="left" w:pos="432"/>
      </w:tabs>
      <w:spacing w:line="320" w:lineRule="exact"/>
      <w:outlineLvl w:val="9"/>
    </w:pPr>
    <w:rPr>
      <w:spacing w:val="-6"/>
      <w:sz w:val="21"/>
      <w:szCs w:val="21"/>
    </w:rPr>
  </w:style>
  <w:style w:type="paragraph" w:customStyle="1" w:styleId="32">
    <w:name w:val="Default"/>
    <w:basedOn w:val="33"/>
    <w:next w:val="34"/>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3">
    <w:name w:val="标题2"/>
    <w:basedOn w:val="1"/>
    <w:autoRedefine/>
    <w:qFormat/>
    <w:uiPriority w:val="0"/>
    <w:rPr>
      <w:rFonts w:ascii="宋体" w:hAnsi="宋体"/>
      <w:b/>
      <w:kern w:val="0"/>
      <w:sz w:val="24"/>
      <w:szCs w:val="24"/>
    </w:rPr>
  </w:style>
  <w:style w:type="paragraph" w:customStyle="1" w:styleId="34">
    <w:name w:val="1正文段落"/>
    <w:basedOn w:val="1"/>
    <w:autoRedefine/>
    <w:qFormat/>
    <w:uiPriority w:val="0"/>
    <w:pPr>
      <w:spacing w:line="360" w:lineRule="auto"/>
      <w:ind w:firstLine="480" w:firstLineChars="200"/>
      <w:jc w:val="left"/>
    </w:pPr>
    <w:rPr>
      <w:snapToGrid w:val="0"/>
      <w:kern w:val="0"/>
      <w:sz w:val="24"/>
      <w:szCs w:val="24"/>
    </w:rPr>
  </w:style>
  <w:style w:type="paragraph" w:customStyle="1" w:styleId="35">
    <w:name w:val="纯文本1"/>
    <w:basedOn w:val="1"/>
    <w:qFormat/>
    <w:uiPriority w:val="0"/>
    <w:rPr>
      <w:rFonts w:ascii="宋体" w:hAnsi="Courier New"/>
    </w:rPr>
  </w:style>
  <w:style w:type="paragraph" w:customStyle="1" w:styleId="36">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7">
    <w:name w:val="Default1"/>
    <w:basedOn w:val="38"/>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Normal_14_0"/>
    <w:autoRedefine/>
    <w:qFormat/>
    <w:uiPriority w:val="0"/>
    <w:pPr>
      <w:spacing w:before="120" w:after="240"/>
      <w:jc w:val="both"/>
    </w:pPr>
    <w:rPr>
      <w:rFonts w:ascii="Calibri" w:hAnsi="Calibri" w:eastAsia="Calibri" w:cs="Times New Roman"/>
      <w:sz w:val="22"/>
      <w:szCs w:val="22"/>
      <w:lang w:val="ru-RU" w:eastAsia="en-US" w:bidi="ar-SA"/>
    </w:rPr>
  </w:style>
  <w:style w:type="paragraph" w:customStyle="1" w:styleId="39">
    <w:name w:val="简单回函地址"/>
    <w:basedOn w:val="1"/>
    <w:next w:val="40"/>
    <w:autoRedefine/>
    <w:qFormat/>
    <w:uiPriority w:val="0"/>
    <w:rPr>
      <w:sz w:val="24"/>
      <w:szCs w:val="20"/>
    </w:rPr>
  </w:style>
  <w:style w:type="paragraph" w:customStyle="1" w:styleId="40">
    <w:name w:val="正文2"/>
    <w:basedOn w:val="1"/>
    <w:autoRedefine/>
    <w:qFormat/>
    <w:uiPriority w:val="0"/>
    <w:pPr>
      <w:adjustRightInd w:val="0"/>
      <w:spacing w:line="360" w:lineRule="auto"/>
      <w:ind w:firstLine="480" w:firstLineChars="200"/>
      <w:textAlignment w:val="baseline"/>
    </w:pPr>
    <w:rPr>
      <w:rFonts w:ascii="宋体" w:hAnsi="宋体" w:cs="宋体"/>
      <w:kern w:val="21"/>
      <w:sz w:val="24"/>
    </w:rPr>
  </w:style>
  <w:style w:type="paragraph" w:customStyle="1" w:styleId="41">
    <w:name w:val="样式1"/>
    <w:basedOn w:val="42"/>
    <w:autoRedefine/>
    <w:qFormat/>
    <w:uiPriority w:val="0"/>
    <w:pPr>
      <w:spacing w:line="360" w:lineRule="auto"/>
      <w:ind w:firstLine="425"/>
    </w:pPr>
    <w:rPr>
      <w:kern w:val="44"/>
      <w:szCs w:val="20"/>
    </w:rPr>
  </w:style>
  <w:style w:type="paragraph" w:customStyle="1" w:styleId="42">
    <w:name w:val="Table Paragraph"/>
    <w:basedOn w:val="1"/>
    <w:autoRedefine/>
    <w:qFormat/>
    <w:uiPriority w:val="1"/>
    <w:rPr>
      <w:rFonts w:ascii="宋体" w:hAnsi="宋体" w:eastAsia="宋体" w:cs="宋体"/>
      <w:lang w:val="zh-CN" w:eastAsia="zh-CN" w:bidi="zh-CN"/>
    </w:rPr>
  </w:style>
  <w:style w:type="paragraph" w:customStyle="1" w:styleId="43">
    <w:name w:val="样式 正文文本缩进 + 行距: 1.5 倍行距"/>
    <w:autoRedefine/>
    <w:qFormat/>
    <w:uiPriority w:val="0"/>
    <w:pPr>
      <w:widowControl w:val="0"/>
      <w:spacing w:before="0" w:after="120" w:line="480" w:lineRule="exact"/>
      <w:ind w:left="90" w:leftChars="32" w:firstLine="560" w:firstLineChars="200"/>
      <w:jc w:val="both"/>
    </w:pPr>
    <w:rPr>
      <w:rFonts w:ascii="Times New Roman" w:hAnsi="Times New Roman" w:eastAsia="宋体" w:cs="宋体"/>
      <w:b/>
      <w:kern w:val="2"/>
      <w:sz w:val="28"/>
      <w:szCs w:val="21"/>
      <w:lang w:val="en-US" w:eastAsia="zh-CN" w:bidi="ar-SA"/>
    </w:rPr>
  </w:style>
  <w:style w:type="paragraph" w:customStyle="1" w:styleId="44">
    <w:name w:val="表文字"/>
    <w:basedOn w:val="1"/>
    <w:autoRedefine/>
    <w:qFormat/>
    <w:uiPriority w:val="0"/>
    <w:pPr>
      <w:tabs>
        <w:tab w:val="left" w:pos="945"/>
        <w:tab w:val="right" w:leader="dot" w:pos="1155"/>
        <w:tab w:val="left" w:pos="8715"/>
      </w:tabs>
      <w:adjustRightInd w:val="0"/>
      <w:snapToGrid w:val="0"/>
      <w:spacing w:before="46" w:beforeLines="15" w:after="46" w:afterLines="15" w:line="360" w:lineRule="auto"/>
      <w:ind w:firstLine="0"/>
      <w:jc w:val="center"/>
      <w:textAlignment w:val="baseline"/>
    </w:pPr>
    <w:rPr>
      <w:rFonts w:ascii="宋体" w:hAnsi="宋体"/>
      <w:snapToGrid w:val="0"/>
      <w:color w:val="000000"/>
      <w:kern w:val="0"/>
      <w:sz w:val="21"/>
      <w:szCs w:val="9"/>
      <w:lang w:val="zh-CN"/>
    </w:rPr>
  </w:style>
  <w:style w:type="paragraph" w:customStyle="1" w:styleId="45">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6">
    <w:name w:val="列出段落"/>
    <w:basedOn w:val="1"/>
    <w:autoRedefine/>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paragraph" w:customStyle="1" w:styleId="47">
    <w:name w:val="mm正文"/>
    <w:basedOn w:val="1"/>
    <w:autoRedefine/>
    <w:qFormat/>
    <w:uiPriority w:val="0"/>
    <w:pPr>
      <w:spacing w:line="480" w:lineRule="exact"/>
      <w:ind w:firstLine="200" w:firstLineChars="200"/>
    </w:pPr>
    <w:rPr>
      <w:rFonts w:cs="宋体"/>
      <w:color w:val="000000"/>
    </w:rPr>
  </w:style>
  <w:style w:type="paragraph" w:customStyle="1" w:styleId="48">
    <w:name w:val="表格"/>
    <w:basedOn w:val="13"/>
    <w:next w:val="1"/>
    <w:autoRedefine/>
    <w:qFormat/>
    <w:uiPriority w:val="99"/>
    <w:pPr>
      <w:spacing w:line="240" w:lineRule="auto"/>
      <w:jc w:val="center"/>
    </w:pPr>
    <w:rPr>
      <w:kern w:val="0"/>
      <w:sz w:val="21"/>
    </w:rPr>
  </w:style>
  <w:style w:type="paragraph" w:customStyle="1" w:styleId="49">
    <w:name w:val="环评正文"/>
    <w:basedOn w:val="1"/>
    <w:autoRedefine/>
    <w:qFormat/>
    <w:uiPriority w:val="99"/>
    <w:pPr>
      <w:spacing w:line="360" w:lineRule="auto"/>
      <w:ind w:firstLine="200" w:firstLineChars="200"/>
    </w:pPr>
    <w:rPr>
      <w:rFonts w:ascii="Times New Roman" w:hAnsi="Times New Roman"/>
      <w:kern w:val="0"/>
      <w:sz w:val="24"/>
      <w:szCs w:val="24"/>
    </w:rPr>
  </w:style>
  <w:style w:type="paragraph" w:customStyle="1" w:styleId="50">
    <w:name w:val="xl24"/>
    <w:basedOn w:val="1"/>
    <w:autoRedefine/>
    <w:qFormat/>
    <w:uiPriority w:val="0"/>
    <w:pPr>
      <w:widowControl/>
      <w:spacing w:before="100" w:beforeLines="0" w:beforeAutospacing="0" w:after="100" w:afterLines="0" w:afterAutospacing="0"/>
      <w:jc w:val="center"/>
    </w:pPr>
    <w:rPr>
      <w:rFonts w:ascii="宋体" w:hAnsi="宋体"/>
      <w:kern w:val="0"/>
      <w:sz w:val="24"/>
    </w:rPr>
  </w:style>
  <w:style w:type="paragraph" w:customStyle="1" w:styleId="51">
    <w:name w:val="MM表格内容"/>
    <w:basedOn w:val="1"/>
    <w:autoRedefine/>
    <w:qFormat/>
    <w:uiPriority w:val="0"/>
    <w:pPr>
      <w:keepNext/>
      <w:spacing w:line="360" w:lineRule="exact"/>
      <w:ind w:firstLine="0"/>
      <w:jc w:val="center"/>
    </w:pPr>
    <w:rPr>
      <w:sz w:val="21"/>
    </w:rPr>
  </w:style>
  <w:style w:type="paragraph" w:customStyle="1" w:styleId="52">
    <w:name w:val="mm表格内容"/>
    <w:basedOn w:val="53"/>
    <w:next w:val="47"/>
    <w:autoRedefine/>
    <w:qFormat/>
    <w:uiPriority w:val="0"/>
    <w:pPr>
      <w:spacing w:line="240" w:lineRule="auto"/>
    </w:pPr>
    <w:rPr>
      <w:rFonts w:eastAsia="宋体"/>
      <w:bCs w:val="0"/>
      <w:sz w:val="21"/>
    </w:rPr>
  </w:style>
  <w:style w:type="paragraph" w:customStyle="1" w:styleId="53">
    <w:name w:val="mm表头"/>
    <w:basedOn w:val="1"/>
    <w:autoRedefine/>
    <w:qFormat/>
    <w:uiPriority w:val="0"/>
    <w:pPr>
      <w:spacing w:line="480" w:lineRule="exact"/>
      <w:ind w:firstLine="0"/>
      <w:jc w:val="center"/>
    </w:pPr>
    <w:rPr>
      <w:rFonts w:eastAsia="黑体" w:cs="宋体"/>
      <w:bCs/>
      <w:color w:val="000000"/>
    </w:rPr>
  </w:style>
  <w:style w:type="paragraph" w:customStyle="1" w:styleId="54">
    <w:name w:val="表格文字"/>
    <w:basedOn w:val="1"/>
    <w:autoRedefine/>
    <w:qFormat/>
    <w:uiPriority w:val="0"/>
    <w:pPr>
      <w:tabs>
        <w:tab w:val="left" w:pos="-2848"/>
      </w:tabs>
      <w:ind w:firstLine="0"/>
      <w:jc w:val="center"/>
    </w:pPr>
    <w:rPr>
      <w:position w:val="-10"/>
      <w:sz w:val="21"/>
    </w:rPr>
  </w:style>
  <w:style w:type="paragraph" w:customStyle="1" w:styleId="55">
    <w:name w:val="表文"/>
    <w:basedOn w:val="9"/>
    <w:next w:val="6"/>
    <w:autoRedefine/>
    <w:qFormat/>
    <w:uiPriority w:val="0"/>
    <w:pPr>
      <w:autoSpaceDE w:val="0"/>
      <w:autoSpaceDN w:val="0"/>
      <w:adjustRightInd w:val="0"/>
      <w:spacing w:line="360" w:lineRule="atLeast"/>
      <w:ind w:firstLine="0"/>
      <w:jc w:val="center"/>
      <w:textAlignment w:val="baseline"/>
    </w:pPr>
    <w:rPr>
      <w:rFonts w:ascii="宋体" w:hAnsi="Tms Rmn"/>
      <w:kern w:val="0"/>
    </w:rPr>
  </w:style>
  <w:style w:type="paragraph" w:customStyle="1" w:styleId="56">
    <w:name w:val="样式 标题 2"/>
    <w:basedOn w:val="3"/>
    <w:autoRedefine/>
    <w:qFormat/>
    <w:uiPriority w:val="0"/>
    <w:pPr>
      <w:spacing w:before="50" w:after="50"/>
      <w:jc w:val="both"/>
    </w:pPr>
    <w:rPr>
      <w:szCs w:val="28"/>
    </w:rPr>
  </w:style>
  <w:style w:type="paragraph" w:customStyle="1" w:styleId="57">
    <w:name w:val="报告正文"/>
    <w:basedOn w:val="1"/>
    <w:autoRedefine/>
    <w:qFormat/>
    <w:uiPriority w:val="0"/>
    <w:pPr>
      <w:spacing w:line="360" w:lineRule="auto"/>
      <w:ind w:firstLine="200" w:firstLineChars="200"/>
      <w:jc w:val="left"/>
    </w:pPr>
    <w:rPr>
      <w:kern w:val="0"/>
      <w:sz w:val="24"/>
      <w:szCs w:val="20"/>
    </w:rPr>
  </w:style>
  <w:style w:type="paragraph" w:customStyle="1" w:styleId="58">
    <w:name w:val="XQ报告表正文"/>
    <w:basedOn w:val="1"/>
    <w:autoRedefine/>
    <w:qFormat/>
    <w:uiPriority w:val="0"/>
    <w:pPr>
      <w:adjustRightInd w:val="0"/>
      <w:snapToGrid w:val="0"/>
      <w:spacing w:line="360" w:lineRule="auto"/>
      <w:ind w:firstLine="560" w:firstLineChars="200"/>
    </w:pPr>
    <w:rPr>
      <w:rFonts w:hAnsi="宋体" w:cs="宋体"/>
      <w:bCs/>
      <w:snapToGrid w:val="0"/>
      <w:color w:val="000000"/>
      <w:kern w:val="0"/>
      <w:sz w:val="24"/>
      <w:szCs w:val="28"/>
      <w:lang w:val="zh-CN"/>
    </w:rPr>
  </w:style>
  <w:style w:type="paragraph" w:customStyle="1" w:styleId="59">
    <w:name w:val="XQ报告表二级标题"/>
    <w:basedOn w:val="1"/>
    <w:next w:val="58"/>
    <w:autoRedefine/>
    <w:qFormat/>
    <w:uiPriority w:val="0"/>
    <w:pPr>
      <w:adjustRightInd w:val="0"/>
      <w:snapToGrid w:val="0"/>
      <w:spacing w:beforeLines="50" w:afterLines="50"/>
      <w:ind w:firstLine="482" w:firstLineChars="200"/>
      <w:outlineLvl w:val="2"/>
    </w:pPr>
    <w:rPr>
      <w:b/>
      <w:bCs/>
      <w:color w:val="000000"/>
      <w:kern w:val="28"/>
      <w:sz w:val="24"/>
      <w:szCs w:val="21"/>
      <w:lang w:val="en-GB"/>
    </w:rPr>
  </w:style>
  <w:style w:type="paragraph" w:customStyle="1" w:styleId="60">
    <w:name w:val="XQ报告表一级标题"/>
    <w:basedOn w:val="1"/>
    <w:next w:val="58"/>
    <w:autoRedefine/>
    <w:qFormat/>
    <w:uiPriority w:val="0"/>
    <w:pPr>
      <w:adjustRightInd w:val="0"/>
      <w:snapToGrid w:val="0"/>
      <w:spacing w:afterLines="50"/>
    </w:pPr>
    <w:rPr>
      <w:rFonts w:eastAsia="黑体"/>
      <w:kern w:val="0"/>
      <w:sz w:val="28"/>
    </w:rPr>
  </w:style>
  <w:style w:type="paragraph" w:customStyle="1" w:styleId="61">
    <w:name w:val="样式 样式 表头 + 段后: 0.5 行1 + 段前: 0.2 行 段后: 0.5 行"/>
    <w:autoRedefine/>
    <w:qFormat/>
    <w:uiPriority w:val="0"/>
    <w:pPr>
      <w:widowControl w:val="0"/>
      <w:ind w:firstLine="422" w:firstLineChars="200"/>
      <w:jc w:val="center"/>
    </w:pPr>
    <w:rPr>
      <w:rFonts w:ascii="Times New Roman" w:hAnsi="Times New Roman" w:eastAsia="宋体" w:cs="宋体"/>
      <w:b/>
      <w:bCs/>
      <w:kern w:val="2"/>
      <w:sz w:val="21"/>
      <w:szCs w:val="21"/>
      <w:lang w:val="en-US" w:eastAsia="zh-CN" w:bidi="ar-SA"/>
    </w:rPr>
  </w:style>
  <w:style w:type="paragraph" w:customStyle="1" w:styleId="62">
    <w:name w:val="表格内容"/>
    <w:basedOn w:val="13"/>
    <w:next w:val="1"/>
    <w:autoRedefine/>
    <w:qFormat/>
    <w:uiPriority w:val="0"/>
    <w:pPr>
      <w:jc w:val="center"/>
    </w:pPr>
    <w:rPr>
      <w:rFonts w:ascii="Times New Roman" w:hAnsi="Times New Roman"/>
      <w:szCs w:val="21"/>
    </w:rPr>
  </w:style>
  <w:style w:type="paragraph" w:customStyle="1" w:styleId="63">
    <w:name w:val="正文小四"/>
    <w:autoRedefine/>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64">
    <w:name w:val="报告表  段"/>
    <w:autoRedefine/>
    <w:qFormat/>
    <w:uiPriority w:val="0"/>
    <w:pPr>
      <w:widowControl w:val="0"/>
      <w:adjustRightInd w:val="0"/>
      <w:spacing w:line="360" w:lineRule="auto"/>
      <w:ind w:firstLine="505"/>
      <w:jc w:val="both"/>
      <w:textAlignment w:val="baseline"/>
    </w:pPr>
    <w:rPr>
      <w:rFonts w:ascii="宋体" w:hAnsi="Times New Roman" w:eastAsia="宋体" w:cs="Times New Roman"/>
      <w:kern w:val="0"/>
      <w:sz w:val="24"/>
      <w:szCs w:val="20"/>
      <w:lang w:val="en-US" w:eastAsia="zh-CN" w:bidi="ar-SA"/>
    </w:rPr>
  </w:style>
  <w:style w:type="paragraph" w:customStyle="1" w:styleId="65">
    <w:name w:val="yt表头"/>
    <w:basedOn w:val="66"/>
    <w:next w:val="66"/>
    <w:autoRedefine/>
    <w:qFormat/>
    <w:uiPriority w:val="0"/>
    <w:pPr>
      <w:spacing w:before="50" w:beforeLines="50"/>
      <w:jc w:val="center"/>
    </w:pPr>
    <w:rPr>
      <w:rFonts w:ascii="Times New Roman" w:hAnsi="Times New Roman"/>
      <w:b/>
      <w:szCs w:val="21"/>
    </w:rPr>
  </w:style>
  <w:style w:type="paragraph" w:customStyle="1" w:styleId="66">
    <w:name w:val="yt正文"/>
    <w:basedOn w:val="6"/>
    <w:next w:val="15"/>
    <w:autoRedefine/>
    <w:qFormat/>
    <w:uiPriority w:val="0"/>
    <w:pPr>
      <w:spacing w:line="360" w:lineRule="auto"/>
      <w:ind w:firstLine="200"/>
    </w:pPr>
    <w:rPr>
      <w:rFonts w:ascii="Times New Roman" w:hAnsi="Times New Roman"/>
      <w:sz w:val="24"/>
      <w:szCs w:val="24"/>
    </w:rPr>
  </w:style>
  <w:style w:type="paragraph" w:customStyle="1" w:styleId="67">
    <w:name w:val="yt表内"/>
    <w:basedOn w:val="66"/>
    <w:next w:val="66"/>
    <w:autoRedefine/>
    <w:qFormat/>
    <w:uiPriority w:val="0"/>
    <w:pPr>
      <w:spacing w:line="240" w:lineRule="atLeast"/>
      <w:ind w:firstLine="0" w:firstLineChars="0"/>
      <w:jc w:val="center"/>
    </w:pPr>
    <w:rPr>
      <w:sz w:val="21"/>
      <w:szCs w:val="21"/>
    </w:rPr>
  </w:style>
  <w:style w:type="paragraph" w:customStyle="1" w:styleId="68">
    <w:name w:val="表格中文字"/>
    <w:autoRedefine/>
    <w:qFormat/>
    <w:uiPriority w:val="0"/>
    <w:pPr>
      <w:widowControl w:val="0"/>
      <w:adjustRightInd w:val="0"/>
      <w:snapToGrid w:val="0"/>
      <w:jc w:val="center"/>
    </w:pPr>
    <w:rPr>
      <w:rFonts w:ascii="Calibri" w:hAnsi="Calibri" w:eastAsia="宋体" w:cs="Times New Roman"/>
      <w:kern w:val="18"/>
      <w:sz w:val="21"/>
      <w:szCs w:val="21"/>
      <w:lang w:val="en-US" w:eastAsia="zh-CN" w:bidi="ar-SA"/>
    </w:rPr>
  </w:style>
  <w:style w:type="paragraph" w:customStyle="1" w:styleId="69">
    <w:name w:val="正文文本，表格"/>
    <w:basedOn w:val="1"/>
    <w:autoRedefine/>
    <w:qFormat/>
    <w:uiPriority w:val="0"/>
    <w:pPr>
      <w:jc w:val="center"/>
    </w:pPr>
    <w:rPr>
      <w:rFonts w:cs="宋体"/>
      <w:kern w:val="2"/>
      <w:sz w:val="24"/>
      <w:szCs w:val="21"/>
    </w:rPr>
  </w:style>
  <w:style w:type="character" w:customStyle="1" w:styleId="70">
    <w:name w:val="NormalCharacter"/>
    <w:autoRedefine/>
    <w:semiHidden/>
    <w:qFormat/>
    <w:uiPriority w:val="0"/>
    <w:rPr>
      <w:kern w:val="2"/>
      <w:sz w:val="21"/>
      <w:szCs w:val="24"/>
      <w:lang w:val="en-US" w:eastAsia="zh-CN" w:bidi="ar-SA"/>
    </w:rPr>
  </w:style>
  <w:style w:type="paragraph" w:customStyle="1" w:styleId="71">
    <w:name w:val="标号正文"/>
    <w:basedOn w:val="1"/>
    <w:next w:val="1"/>
    <w:autoRedefine/>
    <w:qFormat/>
    <w:uiPriority w:val="0"/>
    <w:pPr>
      <w:tabs>
        <w:tab w:val="left" w:pos="1540"/>
      </w:tabs>
      <w:overflowPunct w:val="0"/>
      <w:snapToGrid w:val="0"/>
      <w:spacing w:line="360" w:lineRule="auto"/>
      <w:ind w:left="0" w:firstLine="1040"/>
      <w:jc w:val="left"/>
    </w:pPr>
    <w:rPr>
      <w:rFonts w:ascii="Arial" w:hAnsi="Arial" w:eastAsia="宋体"/>
      <w:sz w:val="24"/>
      <w:szCs w:val="20"/>
    </w:rPr>
  </w:style>
  <w:style w:type="character" w:customStyle="1" w:styleId="72">
    <w:name w:val="font51"/>
    <w:basedOn w:val="26"/>
    <w:autoRedefine/>
    <w:qFormat/>
    <w:uiPriority w:val="0"/>
    <w:rPr>
      <w:rFonts w:hint="default" w:ascii="Times New Roman" w:hAnsi="Times New Roman" w:cs="Times New Roman"/>
      <w:color w:val="000000"/>
      <w:sz w:val="21"/>
      <w:szCs w:val="21"/>
      <w:u w:val="none"/>
      <w:vertAlign w:val="subscript"/>
    </w:rPr>
  </w:style>
  <w:style w:type="paragraph" w:customStyle="1" w:styleId="73">
    <w:name w:val="Table Text"/>
    <w:basedOn w:val="1"/>
    <w:autoRedefine/>
    <w:semiHidden/>
    <w:qFormat/>
    <w:uiPriority w:val="0"/>
    <w:rPr>
      <w:rFonts w:ascii="宋体" w:hAnsi="宋体" w:eastAsia="宋体" w:cs="宋体"/>
      <w:sz w:val="20"/>
      <w:szCs w:val="20"/>
      <w:lang w:val="en-US" w:eastAsia="en-US" w:bidi="ar-SA"/>
    </w:rPr>
  </w:style>
  <w:style w:type="table" w:customStyle="1" w:styleId="74">
    <w:name w:val="Table Normal"/>
    <w:autoRedefine/>
    <w:semiHidden/>
    <w:unhideWhenUsed/>
    <w:qFormat/>
    <w:uiPriority w:val="0"/>
    <w:tblPr>
      <w:tblCellMar>
        <w:top w:w="0" w:type="dxa"/>
        <w:left w:w="0" w:type="dxa"/>
        <w:bottom w:w="0" w:type="dxa"/>
        <w:right w:w="0" w:type="dxa"/>
      </w:tblCellMar>
    </w:tblPr>
  </w:style>
  <w:style w:type="paragraph" w:customStyle="1" w:styleId="75">
    <w:name w:val="Body Text 2"/>
    <w:basedOn w:val="1"/>
    <w:qFormat/>
    <w:uiPriority w:val="0"/>
    <w:pPr>
      <w:adjustRightInd w:val="0"/>
      <w:jc w:val="center"/>
      <w:textAlignment w:val="baseline"/>
    </w:pPr>
    <w:rPr>
      <w:sz w:val="24"/>
      <w:szCs w:val="20"/>
    </w:rPr>
  </w:style>
  <w:style w:type="paragraph" w:customStyle="1" w:styleId="76">
    <w:name w:val="样式5"/>
    <w:basedOn w:val="77"/>
    <w:next w:val="1"/>
    <w:qFormat/>
    <w:uiPriority w:val="0"/>
    <w:pPr>
      <w:autoSpaceDE w:val="0"/>
      <w:autoSpaceDN w:val="0"/>
      <w:adjustRightInd w:val="0"/>
      <w:snapToGrid w:val="0"/>
      <w:spacing w:line="360" w:lineRule="auto"/>
      <w:ind w:firstLine="480" w:firstLineChars="200"/>
    </w:pPr>
    <w:rPr>
      <w:rFonts w:ascii="Times New Roman" w:hAnsi="Times New Roman" w:eastAsia="宋体"/>
      <w:snapToGrid w:val="0"/>
      <w:kern w:val="0"/>
      <w:sz w:val="24"/>
      <w:szCs w:val="24"/>
    </w:rPr>
  </w:style>
  <w:style w:type="paragraph" w:customStyle="1" w:styleId="77">
    <w:name w:val="正文1"/>
    <w:basedOn w:val="32"/>
    <w:next w:val="1"/>
    <w:qFormat/>
    <w:uiPriority w:val="0"/>
    <w:pPr>
      <w:spacing w:line="560" w:lineRule="exact"/>
      <w:ind w:firstLine="200" w:firstLineChars="200"/>
    </w:pPr>
    <w:rPr>
      <w:rFonts w:ascii="宋体" w:hAnsi="宋体" w:cs="宋体"/>
      <w:sz w:val="28"/>
      <w:szCs w:val="28"/>
    </w:rPr>
  </w:style>
  <w:style w:type="paragraph" w:customStyle="1" w:styleId="78">
    <w:name w:val="1表内容"/>
    <w:basedOn w:val="1"/>
    <w:qFormat/>
    <w:uiPriority w:val="99"/>
    <w:rPr>
      <w:color w:val="7030A0"/>
      <w:szCs w:val="21"/>
    </w:rPr>
  </w:style>
  <w:style w:type="paragraph" w:customStyle="1" w:styleId="79">
    <w:name w:val="表内容"/>
    <w:basedOn w:val="1"/>
    <w:qFormat/>
    <w:uiPriority w:val="0"/>
    <w:rPr>
      <w:color w:val="7030A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0" Type="http://schemas.openxmlformats.org/officeDocument/2006/relationships/fontTable" Target="fontTable.xml"/><Relationship Id="rId5" Type="http://schemas.openxmlformats.org/officeDocument/2006/relationships/footer" Target="footer3.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jpeg"/><Relationship Id="rId4" Type="http://schemas.openxmlformats.org/officeDocument/2006/relationships/footer" Target="foot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8da171a3-4709-4182-8d55-756941b3787a</errorID>
      <errorWord>:/</errorWord>
      <group>L1_Punc</group>
      <groupName>标点问题</groupName>
      <ability>L2_Punc_CN</ability>
      <abilityName>标点符号问题</abilityName>
      <candidateList>
        <item>:</item>
      </candidateList>
      <explain/>
      <paraID>487AF16A</paraID>
      <start>2</start>
      <end>4</end>
      <status>ignored</status>
      <modifiedWord/>
      <trackRevisions>false</trackRevisions>
    </reviewItem>
    <reviewItem>
      <errorID>70c51c32-0098-438c-9d79-555b1cbdc68d</errorID>
      <errorWord>(</errorWord>
      <group>L1_Format</group>
      <groupName>格式问题</groupName>
      <ability>L2_HalfPunc_CN</ability>
      <abilityName>全半角问题</abilityName>
      <candidateList>
        <item>（</item>
      </candidateList>
      <explain>文本全半角错误。</explain>
      <paraID>73D4C513</paraID>
      <start>20</start>
      <end>21</end>
      <status>modified</status>
      <modifiedWord>（</modifiedWord>
      <trackRevisions>false</trackRevisions>
    </reviewItem>
    <reviewItem>
      <errorID>1258acbf-62c9-48fe-b4a7-4aacf7c89e87</errorID>
      <errorWord>)</errorWord>
      <group>L1_Format</group>
      <groupName>格式问题</groupName>
      <ability>L2_HalfPunc_CN</ability>
      <abilityName>全半角问题</abilityName>
      <candidateList>
        <item>）</item>
      </candidateList>
      <explain>文本全半角错误。</explain>
      <paraID>73D4C513</paraID>
      <start>33</start>
      <end>34</end>
      <status>modified</status>
      <modifiedWord>）</modifiedWord>
      <trackRevisions>false</trackRevisions>
    </reviewItem>
    <reviewItem>
      <errorID>54c0f763-a214-47fc-8a0f-61917ba01323</errorID>
      <errorWord>(</errorWord>
      <group>L1_Format</group>
      <groupName>格式问题</groupName>
      <ability>L2_HalfPunc_CN</ability>
      <abilityName>全半角问题</abilityName>
      <candidateList>
        <item>（</item>
      </candidateList>
      <explain>文本全半角错误。</explain>
      <paraID>62A1EF3A</paraID>
      <start>17</start>
      <end>18</end>
      <status>modified</status>
      <modifiedWord>（</modifiedWord>
      <trackRevisions>false</trackRevisions>
    </reviewItem>
    <reviewItem>
      <errorID>d9de5124-037c-42a1-a8f9-53a8436d5ce9</errorID>
      <errorWord>)</errorWord>
      <group>L1_Format</group>
      <groupName>格式问题</groupName>
      <ability>L2_HalfPunc_CN</ability>
      <abilityName>全半角问题</abilityName>
      <candidateList>
        <item>）</item>
      </candidateList>
      <explain>文本全半角错误。</explain>
      <paraID>62A1EF3A</paraID>
      <start>30</start>
      <end>31</end>
      <status>modified</status>
      <modifiedWord>）</modifiedWord>
      <trackRevisions>false</trackRevisions>
    </reviewItem>
    <reviewItem>
      <errorID>14b2a16b-9e04-4241-ae4b-aebc67ffe9ae</errorID>
      <errorWord>"</errorWord>
      <group>L1_Format</group>
      <groupName>格式问题</groupName>
      <ability>L2_HalfPunc_CN</ability>
      <abilityName>全半角问题</abilityName>
      <candidateList/>
      <explain>文本全半角错误。</explain>
      <paraID> DE4B8ED</paraID>
      <start>98</start>
      <end>99</end>
      <status>ignored</status>
      <modifiedWord/>
      <trackRevisions>false</trackRevisions>
    </reviewItem>
    <reviewItem>
      <errorID>a4d58cca-c214-43cb-932e-b3aa1755a1f9</errorID>
      <errorWord>"</errorWord>
      <group>L1_Format</group>
      <groupName>格式问题</groupName>
      <ability>L2_HalfPunc_CN</ability>
      <abilityName>全半角问题</abilityName>
      <candidateList/>
      <explain>文本全半角错误。</explain>
      <paraID> DE4B8ED</paraID>
      <start>114</start>
      <end>115</end>
      <status>ignored</status>
      <modifiedWord/>
      <trackRevisions>false</trackRevisions>
    </reviewItem>
    <reviewItem>
      <errorID>392d2be3-9670-4835-8e62-ec9b888c635a</errorID>
      <errorWord>成</errorWord>
      <group>L1_Word</group>
      <groupName>字词问题</groupName>
      <ability>L2_Typo</ability>
      <abilityName>字词错误</abilityName>
      <candidateList>
        <item>呈</item>
      </candidateList>
      <explain>存在发音相同字词的误用。</explain>
      <paraID>6297DD19</paraID>
      <start>176</start>
      <end>177</end>
      <status>modified</status>
      <modifiedWord>呈</modifiedWord>
      <trackRevisions>false</trackRevisions>
    </reviewItem>
    <reviewItem>
      <errorID>b05d1eeb-cf5e-4ebb-93f2-c4c57cf42844</errorID>
      <errorWord>成</errorWord>
      <group>L1_Word</group>
      <groupName>字词问题</groupName>
      <ability>L2_Typo</ability>
      <abilityName>字词错误</abilityName>
      <candidateList>
        <item>呈</item>
      </candidateList>
      <explain>存在发音相同字词的误用。</explain>
      <paraID>6297DD19</paraID>
      <start>182</start>
      <end>183</end>
      <status>modified</status>
      <modifiedWord>呈</modifiedWord>
      <trackRevisions>false</trackRevisions>
    </reviewItem>
    <reviewItem>
      <errorID>ed88412f-dae5-4f0c-9c85-24d4dc37999c</errorID>
      <errorWord>成</errorWord>
      <group>L1_Word</group>
      <groupName>字词问题</groupName>
      <ability>L2_Typo</ability>
      <abilityName>字词错误</abilityName>
      <candidateList>
        <item>呈</item>
      </candidateList>
      <explain>存在发音相同字词的误用。</explain>
      <paraID>6297DD19</paraID>
      <start>188</start>
      <end>189</end>
      <status>modified</status>
      <modifiedWord>呈</modifiedWord>
      <trackRevisions>false</trackRevisions>
    </reviewItem>
    <reviewItem>
      <errorID>8f8f544f-4931-4de8-85d9-8e1db1235ff6</errorID>
      <errorWord>-</errorWord>
      <group>L1_Format</group>
      <groupName>格式问题</groupName>
      <ability>L2_HalfPunc_CN</ability>
      <abilityName>全半角问题</abilityName>
      <candidateList>
        <item>－</item>
      </candidateList>
      <explain>文本全半角错误。</explain>
      <paraID>5A5A54E7</paraID>
      <start>60</start>
      <end>61</end>
      <status>ignored</status>
      <modifiedWord/>
      <trackRevisions>false</trackRevisions>
    </reviewItem>
    <reviewItem>
      <errorID>5f3842a0-4717-4d9d-85d1-f17ca5959b96</errorID>
      <errorWord>具</errorWord>
      <group>L1_Word</group>
      <groupName>字词问题</groupName>
      <ability>L2_Typo</ability>
      <abilityName>字词错误</abilityName>
      <candidateList>
        <item>具有</item>
      </candidateList>
      <explain/>
      <paraID>5A5A54E7</paraID>
      <start>301</start>
      <end>302</end>
      <status>ignored</status>
      <modifiedWord/>
      <trackRevisions>false</trackRevisions>
    </reviewItem>
    <reviewItem>
      <errorID>98c7e80f-1de8-4c20-8ac0-5d04446d0083</errorID>
      <errorWord>和绍</errorWord>
      <group>L1_Word</group>
      <groupName>字词问题</groupName>
      <ability>L2_Typo</ability>
      <abilityName>字词错误</abilityName>
      <candidateList>
        <item>和</item>
      </candidateList>
      <explain/>
      <paraID>5089FD77</paraID>
      <start>41</start>
      <end>43</end>
      <status>ignored</status>
      <modifiedWord/>
      <trackRevisions>false</trackRevisions>
    </reviewItem>
    <reviewItem>
      <errorID>d4f63949-4121-4254-b93d-0b4d3a6606bb</errorID>
      <errorWord>~</errorWord>
      <group>L1_Format</group>
      <groupName>格式问题</groupName>
      <ability>L2_HalfPunc_CN</ability>
      <abilityName>全半角问题</abilityName>
      <candidateList>
        <item>～</item>
      </candidateList>
      <explain>文本全半角错误。</explain>
      <paraID>5089FD77</paraID>
      <start>111</start>
      <end>112</end>
      <status>ignored</status>
      <modifiedWord/>
      <trackRevisions>false</trackRevisions>
    </reviewItem>
    <reviewItem>
      <errorID>37c8a49a-8358-49e3-940e-c2214feb09d2</errorID>
      <errorWord>《</errorWord>
      <group>L1_Punc</group>
      <groupName>标点问题</groupName>
      <ability>L2_Punc_CN</ability>
      <abilityName>标点符号问题</abilityName>
      <candidateList/>
      <explain>同一形式括号套用。</explain>
      <paraID>46F228BF</paraID>
      <start>7</start>
      <end>8</end>
      <status>ignored</status>
      <modifiedWord/>
      <trackRevisions>false</trackRevisions>
    </reviewItem>
    <reviewItem>
      <errorID>0314892c-9f86-4209-83de-31c718d64185</errorID>
      <errorWord>》</errorWord>
      <group>L1_Punc</group>
      <groupName>标点问题</groupName>
      <ability>L2_Punc_CN</ability>
      <abilityName>标点符号问题</abilityName>
      <candidateList/>
      <explain>同一形式括号套用。</explain>
      <paraID>46F228BF</paraID>
      <start>27</start>
      <end>28</end>
      <status>ignored</status>
      <modifiedWord/>
      <trackRevisions>false</trackRevisions>
    </reviewItem>
    <reviewItem>
      <errorID>5acc7f38-f57e-4380-b583-3a7770547fc5</errorID>
      <errorWord>后</errorWord>
      <group>L1_Word</group>
      <groupName>字词问题</groupName>
      <ability>L2_Typo</ability>
      <abilityName>字词错误</abilityName>
      <candidateList>
        <item>后进</item>
      </candidateList>
      <explain/>
      <paraID>31008381</paraID>
      <start>24</start>
      <end>25</end>
      <status>ignored</status>
      <modifiedWord/>
      <trackRevisions>false</trackRevisions>
    </reviewItem>
    <reviewItem>
      <errorID>f46320f1-5bcc-4495-834b-6f0e477387b3</errorID>
      <errorWord>，</errorWord>
      <group>L1_Word</group>
      <groupName>字词问题</groupName>
      <ability>L2_Typo</ability>
      <abilityName>字词错误</abilityName>
      <candidateList>
        <item>，对</item>
      </candidateList>
      <explain/>
      <paraID> 6285FEC</paraID>
      <start>141</start>
      <end>142</end>
      <status>ignored</status>
      <modifiedWord/>
      <trackRevisions>false</trackRevisions>
    </reviewItem>
    <reviewItem>
      <errorID>7979aa60-9e1f-466b-9de3-51a430501d33</errorID>
      <errorWord>"</errorWord>
      <group>L1_Format</group>
      <groupName>格式问题</groupName>
      <ability>L2_HalfPunc_CN</ability>
      <abilityName>全半角问题</abilityName>
      <candidateList/>
      <explain>文本全半角错误。</explain>
      <paraID>197836A4</paraID>
      <start>71</start>
      <end>72</end>
      <status>ignored</status>
      <modifiedWord/>
      <trackRevisions>false</trackRevisions>
    </reviewItem>
    <reviewItem>
      <errorID>1ffed285-7486-40e6-b798-a3c215a54901</errorID>
      <errorWord>"</errorWord>
      <group>L1_Format</group>
      <groupName>格式问题</groupName>
      <ability>L2_HalfPunc_CN</ability>
      <abilityName>全半角问题</abilityName>
      <candidateList/>
      <explain>文本全半角错误。</explain>
      <paraID>197836A4</paraID>
      <start>87</start>
      <end>88</end>
      <status>ignored</status>
      <modifiedWord/>
      <trackRevisions>false</trackRevisions>
    </reviewItem>
    <reviewItem>
      <errorID>f27a5c53-34d7-4436-aa7e-547b93bbea16</errorID>
      <errorWord>料</errorWord>
      <group>L1_Word</group>
      <groupName>字词问题</groupName>
      <ability>L2_Typo</ability>
      <abilityName>字词错误</abilityName>
      <candidateList>
        <item>料厂</item>
      </candidateList>
      <explain/>
      <paraID>197836A4</paraID>
      <start>216</start>
      <end>218</end>
      <status>modified</status>
      <modifiedWord>料厂</modifiedWord>
      <trackRevisions>false</trackRevisions>
    </reviewItem>
    <reviewItem>
      <errorID>c92c995e-729a-4450-a653-9f10607107b6</errorID>
      <errorWord>减震</errorWord>
      <group>L1_Word</group>
      <groupName>字词问题</groupName>
      <ability>L2_Typo</ability>
      <abilityName>字词错误</abilityName>
      <candidateList>
        <item>减振</item>
      </candidateList>
      <explain>存在发音相同字词的误用。</explain>
      <paraID>2770C13C</paraID>
      <start>86</start>
      <end>88</end>
      <status>ignored</status>
      <modifiedWord/>
      <trackRevisions>false</trackRevisions>
    </reviewItem>
    <reviewItem>
      <errorID>b6e72054-100b-4ca3-ae0b-f4c69457a28a</errorID>
      <errorWord>资源化、减量化、无害化</errorWord>
      <group>L1_Political</group>
      <groupName>政治性问题</groupName>
      <ability>L2_Keyword</ability>
      <abilityName>固定表述</abilityName>
      <candidateList>
        <item>减量化、资源化、无害化</item>
      </candidateList>
      <explain>词汇“减量化、资源化、无害化”在特定场景下为固定表述形式，请确认此处的“资源化、减量化、无害化”是否存在不当。</explain>
      <paraID>754B46A9</paraID>
      <start>17</start>
      <end>28</end>
      <status>ignored</status>
      <modifiedWord/>
      <trackRevisions>false</trackRevisions>
    </reviewItem>
    <reviewItem>
      <errorID>375381f7-c5a4-4967-92a0-d6ae54e92df3</errorID>
      <errorWord>标示牌</errorWord>
      <group>L1_Word</group>
      <groupName>字词问题</groupName>
      <ability>L2_Typo</ability>
      <abilityName>字词错误</abilityName>
      <candidateList>
        <item>标识牌</item>
      </candidateList>
      <explain>存在发音相同字词的误用。</explain>
      <paraID>3BC0EA8E</paraID>
      <start>34</start>
      <end>37</end>
      <status>modified</status>
      <modifiedWord>标识牌</modifiedWord>
      <trackRevisions>false</trackRevisions>
    </reviewItem>
    <reviewItem>
      <errorID>072285ad-1299-490c-8a6d-640566d755f9</errorID>
      <errorWord>带</errorWord>
      <group>L1_Word</group>
      <groupName>字词问题</groupName>
      <ability>L2_Typo</ability>
      <abilityName>字词错误</abilityName>
      <candidateList>
        <item>戴</item>
      </candidateList>
      <explain>存在发音相同字词的误用。</explain>
      <paraID>43ED97BF</paraID>
      <start>20</start>
      <end>21</end>
      <status>modified</status>
      <modifiedWord>戴</modifiedWord>
      <trackRevisions>false</trackRevisions>
    </reviewItem>
    <reviewItem>
      <errorID>069f759a-26c1-4914-b710-c96afe72af05</errorID>
      <errorWord>两</errorWord>
      <group>L1_Word</group>
      <groupName>字词问题</groupName>
      <ability>L2_Typo</ability>
      <abilityName>字词错误</abilityName>
      <candidateList>
        <item>两个</item>
      </candidateList>
      <explain/>
      <paraID>717B6B32</paraID>
      <start>11</start>
      <end>12</end>
      <status>ignored</status>
      <modifiedWord/>
      <trackRevisions>false</trackRevisions>
    </reviewItem>
    <reviewItem>
      <errorID>4e6d15bd-ffde-4875-a9d4-a290310d7837</errorID>
      <errorWord>）</errorWord>
      <group>L1_Format</group>
      <groupName>格式问题</groupName>
      <ability>L2_HalfPunc_CN</ability>
      <abilityName>全半角问题</abilityName>
      <candidateList>
        <item>)</item>
      </candidateList>
      <explain>文本全半角错误。</explain>
      <paraID> 4C8544C</paraID>
      <start>14</start>
      <end>15</end>
      <status>ignored</status>
      <modifiedWord/>
      <trackRevisions>false</trackRevisions>
    </reviewItem>
    <reviewItem>
      <errorID>da35eb8d-6171-438a-934e-ddc4edabc986</errorID>
      <errorWord>总</errorWord>
      <group>L1_Word</group>
      <groupName>字词问题</groupName>
      <ability>L2_Typo</ability>
      <abilityName>字词错误</abilityName>
      <candidateList>
        <item>中</item>
      </candidateList>
      <explain/>
      <paraID>76E960CE</paraID>
      <start>5</start>
      <end>6</end>
      <status>ignored</status>
      <modifiedWord/>
      <trackRevisions>false</trackRevisions>
    </reviewItem>
    <reviewItem>
      <errorID>d0c59ed0-c26f-421b-b966-0f757ba2a488</errorID>
      <errorWord>（</errorWord>
      <group>L1_Format</group>
      <groupName>格式问题</groupName>
      <ability>L2_HalfPunc_CN</ability>
      <abilityName>全半角问题</abilityName>
      <candidateList>
        <item>(</item>
      </candidateList>
      <explain>文本全半角错误。</explain>
      <paraID>329B978C</paraID>
      <start>0</start>
      <end>1</end>
      <status>ignored</status>
      <modifiedWord/>
      <trackRevisions>false</trackRevisions>
    </reviewItem>
    <reviewItem>
      <errorID>9d17cdc5-65ba-44e0-a674-ff447e695712</errorID>
      <errorWord>）</errorWord>
      <group>L1_Format</group>
      <groupName>格式问题</groupName>
      <ability>L2_HalfPunc_CN</ability>
      <abilityName>全半角问题</abilityName>
      <candidateList>
        <item>)</item>
      </candidateList>
      <explain>文本全半角错误。</explain>
      <paraID>329B978C</paraID>
      <start>13</start>
      <end>14</end>
      <status>ignored</status>
      <modifiedWord/>
      <trackRevisions>false</trackRevisions>
    </reviewItem>
    <reviewItem>
      <errorID>d9c1d6db-3a37-4112-932a-f2566722cd63</errorID>
      <errorWord>（</errorWord>
      <group>L1_Format</group>
      <groupName>格式问题</groupName>
      <ability>L2_HalfPunc_CN</ability>
      <abilityName>全半角问题</abilityName>
      <candidateList>
        <item>(</item>
      </candidateList>
      <explain>文本全半角错误。</explain>
      <paraID>77ECDB37</paraID>
      <start>0</start>
      <end>1</end>
      <status>ignored</status>
      <modifiedWord/>
      <trackRevisions>false</trackRevisions>
    </reviewItem>
    <reviewItem>
      <errorID>dedd0bf6-ad17-41d9-864e-e98b290bcc7d</errorID>
      <errorWord>）</errorWord>
      <group>L1_Format</group>
      <groupName>格式问题</groupName>
      <ability>L2_HalfPunc_CN</ability>
      <abilityName>全半角问题</abilityName>
      <candidateList>
        <item>)</item>
      </candidateList>
      <explain>文本全半角错误。</explain>
      <paraID>77ECDB37</paraID>
      <start>14</start>
      <end>15</end>
      <status>ignored</status>
      <modifiedWord/>
      <trackRevisions>false</trackRevisions>
    </reviewItem>
    <reviewItem>
      <errorID>2127c973-32f1-492d-bba8-69d7dad71c39</errorID>
      <errorWord>～</errorWord>
      <group>L1_Format</group>
      <groupName>格式问题</groupName>
      <ability>L2_HalfPunc_CN</ability>
      <abilityName>全半角问题</abilityName>
      <candidateList>
        <item>~</item>
      </candidateList>
      <explain>文本全半角错误。</explain>
      <paraID>43B9BA7F</paraID>
      <start>4</start>
      <end>5</end>
      <status>ignored</status>
      <modifiedWord/>
      <trackRevisions>false</trackRevisions>
    </reviewItem>
    <reviewItem>
      <errorID>c1e0d573-170e-4a66-9037-625fee2c083c</errorID>
      <errorWord>～</errorWord>
      <group>L1_Format</group>
      <groupName>格式问题</groupName>
      <ability>L2_HalfPunc_CN</ability>
      <abilityName>全半角问题</abilityName>
      <candidateList>
        <item>~</item>
      </candidateList>
      <explain>文本全半角错误。</explain>
      <paraID>18818D58</paraID>
      <start>6</start>
      <end>7</end>
      <status>ignored</status>
      <modifiedWord/>
      <trackRevisions>false</trackRevisions>
    </reviewItem>
    <reviewItem>
      <errorID>597f13a9-e46b-4b9c-a9f7-b5973fc7b6e2</errorID>
      <errorWord>～</errorWord>
      <group>L1_Format</group>
      <groupName>格式问题</groupName>
      <ability>L2_HalfPunc_CN</ability>
      <abilityName>全半角问题</abilityName>
      <candidateList>
        <item>~</item>
      </candidateList>
      <explain>文本全半角错误。</explain>
      <paraID>3685463D</paraID>
      <start>3</start>
      <end>4</end>
      <status>ignored</status>
      <modifiedWord/>
      <trackRevisions>false</trackRevisions>
    </reviewItem>
    <reviewItem>
      <errorID>7b292995-4e95-4201-b030-7cbfe5a24254</errorID>
      <errorWord>～</errorWord>
      <group>L1_Format</group>
      <groupName>格式问题</groupName>
      <ability>L2_HalfPunc_CN</ability>
      <abilityName>全半角问题</abilityName>
      <candidateList>
        <item>~</item>
      </candidateList>
      <explain>文本全半角错误。</explain>
      <paraID> CBEE1DD</paraID>
      <start>4</start>
      <end>5</end>
      <status>ignored</status>
      <modifiedWord/>
      <trackRevisions>false</trackRevisions>
    </reviewItem>
    <reviewItem>
      <errorID>03032510-5151-40f3-8fc0-e7cd438b1984</errorID>
      <errorWord>～</errorWord>
      <group>L1_Format</group>
      <groupName>格式问题</groupName>
      <ability>L2_HalfPunc_CN</ability>
      <abilityName>全半角问题</abilityName>
      <candidateList>
        <item>~</item>
      </candidateList>
      <explain>文本全半角错误。</explain>
      <paraID>52B97CF6</paraID>
      <start>6</start>
      <end>7</end>
      <status>ignored</status>
      <modifiedWord/>
      <trackRevisions>false</trackRevisions>
    </reviewItem>
    <reviewItem>
      <errorID>5088010f-605d-42fd-aa68-1870719d05b3</errorID>
      <errorWord>～</errorWord>
      <group>L1_Format</group>
      <groupName>格式问题</groupName>
      <ability>L2_HalfPunc_CN</ability>
      <abilityName>全半角问题</abilityName>
      <candidateList>
        <item>~</item>
      </candidateList>
      <explain>文本全半角错误。</explain>
      <paraID>32E6ED74</paraID>
      <start>3</start>
      <end>4</end>
      <status>ignored</status>
      <modifiedWord/>
      <trackRevisions>false</trackRevisions>
    </reviewItem>
    <reviewItem>
      <errorID>6cad19a3-3576-40e1-a038-6941e36a423d</errorID>
      <errorWord>（</errorWord>
      <group>L1_Punc</group>
      <groupName>标点问题</groupName>
      <ability>L2_Punc_CN</ability>
      <abilityName>标点符号问题</abilityName>
      <candidateList/>
      <explain>同一形式括号套用。</explain>
      <paraID>1DDD6449</paraID>
      <start>14</start>
      <end>15</end>
      <status>ignored</status>
      <modifiedWord/>
      <trackRevisions>false</trackRevisions>
    </reviewItem>
    <reviewItem>
      <errorID>4463feab-9ee0-4393-bc52-a566a298d53b</errorID>
      <errorWord>）</errorWord>
      <group>L1_Punc</group>
      <groupName>标点问题</groupName>
      <ability>L2_Punc_CN</ability>
      <abilityName>标点符号问题</abilityName>
      <candidateList/>
      <explain>同一形式括号套用。</explain>
      <paraID>1DDD6449</paraID>
      <start>16</start>
      <end>17</end>
      <status>ignored</status>
      <modifiedWord/>
      <trackRevisions>false</trackRevisions>
    </reviewItem>
    <reviewItem>
      <errorID>37fc5a03-b409-4d91-b6ee-17e06eefd659</errorID>
      <errorWord>获</errorWord>
      <group>L1_Word</group>
      <groupName>字词问题</groupName>
      <ability>L2_Typo</ability>
      <abilityName>字词错误</abilityName>
      <candidateList>
        <item>获得</item>
      </candidateList>
      <explain/>
      <paraID>3CF611C4</paraID>
      <start>91</start>
      <end>92</end>
      <status>ignored</status>
      <modifiedWord/>
      <trackRevisions>false</trackRevisions>
    </reviewItem>
    <reviewItem>
      <errorID>760d06d7-a16f-4ddb-be97-1632b279dd25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3EF86B9E</paraID>
      <start>0</start>
      <end>2</end>
      <status>ignored</status>
      <modifiedWord/>
      <trackRevisions>false</trackRevisions>
    </reviewItem>
    <reviewItem>
      <errorID>6da64da4-96f1-4b63-8524-469a04357ffa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194F475</paraID>
      <start>0</start>
      <end>2</end>
      <status>ignored</status>
      <modifiedWord/>
      <trackRevisions>false</trackRevisions>
    </reviewItem>
    <reviewItem>
      <errorID>9e92716a-2ee2-4428-91e1-8754f8be559f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7021B0B5</paraID>
      <start>0</start>
      <end>2</end>
      <status>ignored</status>
      <modifiedWord/>
      <trackRevisions>false</trackRevisions>
    </reviewItem>
    <reviewItem>
      <errorID>3f007f49-ee96-467c-8716-22d355a6d802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2E809323</paraID>
      <start>0</start>
      <end>2</end>
      <status>ignored</status>
      <modifiedWord/>
      <trackRevisions>false</trackRevisions>
    </reviewItem>
    <reviewItem>
      <errorID>8b30d090-a349-4816-8586-b28cfb3b9a63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750D66B6</paraID>
      <start>0</start>
      <end>2</end>
      <status>ignored</status>
      <modifiedWord/>
      <trackRevisions>false</trackRevisions>
    </reviewItem>
    <reviewItem>
      <errorID>e96f3521-1286-4ed6-9999-3fee0ed7c6eb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12710226</paraID>
      <start>0</start>
      <end>2</end>
      <status>ignored</status>
      <modifiedWord/>
      <trackRevisions>false</trackRevisions>
    </reviewItem>
    <reviewItem>
      <errorID>45fbd472-9c52-452c-8502-ed66ca3eeba2</errorID>
      <errorWord>(</errorWord>
      <group>L1_Format</group>
      <groupName>格式问题</groupName>
      <ability>L2_HalfPunc_CN</ability>
      <abilityName>全半角问题</abilityName>
      <candidateList>
        <item>（</item>
      </candidateList>
      <explain>文本全半角错误。</explain>
      <paraID>287C7D4A</paraID>
      <start>17</start>
      <end>18</end>
      <status>modified</status>
      <modifiedWord>（</modifiedWord>
      <trackRevisions>false</trackRevisions>
    </reviewItem>
    <reviewItem>
      <errorID>31be3124-4e49-4280-82e8-39fa29895289</errorID>
      <errorWord>)</errorWord>
      <group>L1_Format</group>
      <groupName>格式问题</groupName>
      <ability>L2_HalfPunc_CN</ability>
      <abilityName>全半角问题</abilityName>
      <candidateList>
        <item>）</item>
      </candidateList>
      <explain>文本全半角错误。</explain>
      <paraID>287C7D4A</paraID>
      <start>30</start>
      <end>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2ef08e-022e-437d-b2b8-08e74390b2e1}">
  <ds:schemaRefs/>
</ds:datastoreItem>
</file>

<file path=docProps/app.xml><?xml version="1.0" encoding="utf-8"?>
<Properties xmlns="http://schemas.openxmlformats.org/officeDocument/2006/extended-properties" xmlns:vt="http://schemas.openxmlformats.org/officeDocument/2006/docPropsVTypes">
  <Template>0.docx</Template>
  <Pages>58</Pages>
  <Words>7275</Words>
  <Characters>7909</Characters>
  <Lines>0</Lines>
  <Paragraphs>0</Paragraphs>
  <TotalTime>2</TotalTime>
  <ScaleCrop>false</ScaleCrop>
  <LinksUpToDate>false</LinksUpToDate>
  <CharactersWithSpaces>8019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2018-06-11T03:40:00Z</dcterms:created>
  <dc:creator>青春里那一抹微笑℡</dc:creator>
  <cp:lastModifiedBy>阳峰</cp:lastModifiedBy>
  <cp:lastPrinted>2023-06-01T01:38:00Z</cp:lastPrinted>
  <dcterms:modified xsi:type="dcterms:W3CDTF">2026-09-11T09:01:44Z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E7C3F41C468C46B983F63DC204862D42_13</vt:lpwstr>
  </property>
  <property fmtid="{D5CDD505-2E9C-101B-9397-08002B2CF9AE}" pid="4" name="KSOTemplateDocerSaveRecord">
    <vt:lpwstr>eyJoZGlkIjoiODBkZWZmNzY3ODk3YmYzN2RiNTAxZDk1YjEwZTFiYjUiLCJ1c2VySWQiOiI1NjIzMjM3ODMifQ==</vt:lpwstr>
  </property>
</Properties>
</file>